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E6" w:rsidRPr="002906BC" w:rsidRDefault="008E7DE6" w:rsidP="00275B2E">
      <w:pPr>
        <w:pStyle w:val="Default"/>
        <w:spacing w:line="276" w:lineRule="auto"/>
        <w:jc w:val="both"/>
        <w:rPr>
          <w:rFonts w:asciiTheme="majorBidi" w:hAnsiTheme="majorBidi" w:cstheme="majorBidi"/>
          <w:lang w:bidi="ar-IQ"/>
        </w:rPr>
      </w:pPr>
      <w:bookmarkStart w:id="0" w:name="_GoBack"/>
      <w:bookmarkEnd w:id="0"/>
    </w:p>
    <w:p w:rsidR="008E7DE6" w:rsidRPr="002906BC" w:rsidRDefault="008E7DE6" w:rsidP="00275B2E">
      <w:pPr>
        <w:pStyle w:val="Default"/>
        <w:spacing w:line="276" w:lineRule="auto"/>
        <w:jc w:val="center"/>
        <w:rPr>
          <w:rFonts w:asciiTheme="majorBidi" w:hAnsiTheme="majorBidi" w:cstheme="majorBidi"/>
        </w:rPr>
      </w:pPr>
      <w:r w:rsidRPr="002906BC">
        <w:rPr>
          <w:rFonts w:asciiTheme="majorBidi" w:hAnsiTheme="majorBidi" w:cstheme="majorBidi"/>
          <w:b/>
          <w:bCs/>
        </w:rPr>
        <w:t xml:space="preserve">Association of CTLA-4 (+49A/G) gene Polymorphism with type 1 diabetes mellitus in Iraqi </w:t>
      </w:r>
      <w:r w:rsidR="00D76867">
        <w:rPr>
          <w:rFonts w:asciiTheme="majorBidi" w:hAnsiTheme="majorBidi" w:cstheme="majorBidi"/>
          <w:b/>
          <w:bCs/>
        </w:rPr>
        <w:t xml:space="preserve">obese </w:t>
      </w:r>
      <w:r w:rsidRPr="002906BC">
        <w:rPr>
          <w:rFonts w:asciiTheme="majorBidi" w:hAnsiTheme="majorBidi" w:cstheme="majorBidi"/>
          <w:b/>
          <w:bCs/>
        </w:rPr>
        <w:t>children</w:t>
      </w:r>
      <w:r w:rsidR="002C1718" w:rsidRPr="002906BC">
        <w:rPr>
          <w:rFonts w:asciiTheme="majorBidi" w:hAnsiTheme="majorBidi" w:cstheme="majorBidi"/>
          <w:b/>
          <w:bCs/>
        </w:rPr>
        <w:t xml:space="preserve"> </w:t>
      </w:r>
    </w:p>
    <w:p w:rsidR="00C06D04" w:rsidRPr="00C06D04" w:rsidRDefault="00C06D04" w:rsidP="00C06D04">
      <w:pPr>
        <w:pStyle w:val="Default"/>
        <w:jc w:val="both"/>
        <w:rPr>
          <w:rFonts w:asciiTheme="majorBidi" w:hAnsiTheme="majorBidi" w:cstheme="majorBidi"/>
          <w:sz w:val="20"/>
          <w:szCs w:val="20"/>
        </w:rPr>
      </w:pPr>
      <w:r w:rsidRPr="00DC1C72">
        <w:rPr>
          <w:rFonts w:asciiTheme="majorBidi" w:hAnsiTheme="majorBidi" w:cstheme="majorBidi"/>
          <w:b/>
          <w:bCs/>
          <w:vertAlign w:val="superscript"/>
        </w:rPr>
        <w:t>1</w:t>
      </w:r>
      <w:r w:rsidRPr="00C06D04">
        <w:rPr>
          <w:rFonts w:asciiTheme="majorBidi" w:hAnsiTheme="majorBidi" w:cstheme="majorBidi"/>
          <w:b/>
          <w:bCs/>
          <w:sz w:val="20"/>
          <w:szCs w:val="20"/>
          <w:vertAlign w:val="superscript"/>
        </w:rPr>
        <w:t>*</w:t>
      </w:r>
      <w:r w:rsidRPr="00C06D04">
        <w:rPr>
          <w:rFonts w:asciiTheme="majorBidi" w:hAnsiTheme="majorBidi" w:cstheme="majorBidi"/>
          <w:sz w:val="20"/>
          <w:szCs w:val="20"/>
        </w:rPr>
        <w:t xml:space="preserve"> </w:t>
      </w:r>
      <w:proofErr w:type="spellStart"/>
      <w:r w:rsidRPr="00C06D04">
        <w:rPr>
          <w:rFonts w:asciiTheme="majorBidi" w:hAnsiTheme="majorBidi" w:cstheme="majorBidi"/>
          <w:sz w:val="20"/>
          <w:szCs w:val="20"/>
        </w:rPr>
        <w:t>Hasanain</w:t>
      </w:r>
      <w:proofErr w:type="spellEnd"/>
      <w:r w:rsidRPr="00C06D04">
        <w:rPr>
          <w:rFonts w:asciiTheme="majorBidi" w:hAnsiTheme="majorBidi" w:cstheme="majorBidi"/>
          <w:sz w:val="20"/>
          <w:szCs w:val="20"/>
        </w:rPr>
        <w:t xml:space="preserve"> Riyadh Al- </w:t>
      </w:r>
      <w:proofErr w:type="spellStart"/>
      <w:proofErr w:type="gramStart"/>
      <w:r w:rsidRPr="00C06D04">
        <w:rPr>
          <w:rFonts w:asciiTheme="majorBidi" w:hAnsiTheme="majorBidi" w:cstheme="majorBidi"/>
          <w:sz w:val="20"/>
          <w:szCs w:val="20"/>
        </w:rPr>
        <w:t>Isawi</w:t>
      </w:r>
      <w:proofErr w:type="spellEnd"/>
      <w:r w:rsidRPr="00C06D04">
        <w:rPr>
          <w:rFonts w:asciiTheme="majorBidi" w:hAnsiTheme="majorBidi" w:cstheme="majorBidi"/>
          <w:sz w:val="20"/>
          <w:szCs w:val="20"/>
        </w:rPr>
        <w:t xml:space="preserve"> ,</w:t>
      </w:r>
      <w:proofErr w:type="gramEnd"/>
      <w:r w:rsidRPr="00C06D04">
        <w:rPr>
          <w:rFonts w:asciiTheme="majorBidi" w:hAnsiTheme="majorBidi" w:cstheme="majorBidi"/>
          <w:sz w:val="20"/>
          <w:szCs w:val="20"/>
        </w:rPr>
        <w:t xml:space="preserve"> </w:t>
      </w:r>
      <w:r w:rsidRPr="00C06D04">
        <w:rPr>
          <w:rFonts w:asciiTheme="majorBidi" w:hAnsiTheme="majorBidi" w:cstheme="majorBidi"/>
          <w:b/>
          <w:bCs/>
          <w:sz w:val="20"/>
          <w:szCs w:val="20"/>
          <w:vertAlign w:val="superscript"/>
        </w:rPr>
        <w:t xml:space="preserve">2 </w:t>
      </w:r>
      <w:proofErr w:type="spellStart"/>
      <w:r w:rsidRPr="00C06D04">
        <w:rPr>
          <w:rFonts w:asciiTheme="majorBidi" w:hAnsiTheme="majorBidi" w:cstheme="majorBidi"/>
          <w:sz w:val="20"/>
          <w:szCs w:val="20"/>
        </w:rPr>
        <w:t>Faiza</w:t>
      </w:r>
      <w:proofErr w:type="spellEnd"/>
      <w:r w:rsidRPr="00C06D04">
        <w:rPr>
          <w:rFonts w:asciiTheme="majorBidi" w:hAnsiTheme="majorBidi" w:cstheme="majorBidi"/>
          <w:sz w:val="20"/>
          <w:szCs w:val="20"/>
        </w:rPr>
        <w:t xml:space="preserve"> Safi and </w:t>
      </w:r>
      <w:r w:rsidRPr="00C06D04">
        <w:rPr>
          <w:rFonts w:asciiTheme="majorBidi" w:hAnsiTheme="majorBidi" w:cstheme="majorBidi"/>
          <w:b/>
          <w:bCs/>
          <w:sz w:val="20"/>
          <w:szCs w:val="20"/>
          <w:vertAlign w:val="superscript"/>
        </w:rPr>
        <w:t>3</w:t>
      </w:r>
      <w:r w:rsidRPr="00C06D04">
        <w:rPr>
          <w:rFonts w:asciiTheme="majorBidi" w:hAnsiTheme="majorBidi" w:cstheme="majorBidi"/>
          <w:sz w:val="20"/>
          <w:szCs w:val="20"/>
        </w:rPr>
        <w:t xml:space="preserve">Hayder A. </w:t>
      </w:r>
      <w:proofErr w:type="spellStart"/>
      <w:r w:rsidRPr="00C06D04">
        <w:rPr>
          <w:rFonts w:asciiTheme="majorBidi" w:hAnsiTheme="majorBidi" w:cstheme="majorBidi"/>
          <w:sz w:val="20"/>
          <w:szCs w:val="20"/>
        </w:rPr>
        <w:t>Muhammed</w:t>
      </w:r>
      <w:proofErr w:type="spellEnd"/>
      <w:r w:rsidRPr="00C06D04">
        <w:rPr>
          <w:rFonts w:asciiTheme="majorBidi" w:hAnsiTheme="majorBidi" w:cstheme="majorBidi"/>
          <w:sz w:val="20"/>
          <w:szCs w:val="20"/>
        </w:rPr>
        <w:t xml:space="preserve"> </w:t>
      </w:r>
    </w:p>
    <w:p w:rsidR="00C06D04" w:rsidRPr="00C06D04" w:rsidRDefault="00C06D04" w:rsidP="00C06D04">
      <w:pPr>
        <w:pStyle w:val="Default"/>
        <w:jc w:val="both"/>
        <w:rPr>
          <w:rFonts w:asciiTheme="majorBidi" w:hAnsiTheme="majorBidi" w:cstheme="majorBidi"/>
          <w:sz w:val="20"/>
          <w:szCs w:val="20"/>
        </w:rPr>
      </w:pPr>
      <w:r w:rsidRPr="00C06D04">
        <w:rPr>
          <w:rFonts w:asciiTheme="majorBidi" w:hAnsiTheme="majorBidi" w:cstheme="majorBidi"/>
          <w:sz w:val="20"/>
          <w:szCs w:val="20"/>
        </w:rPr>
        <w:t xml:space="preserve"> </w:t>
      </w:r>
    </w:p>
    <w:p w:rsidR="00C06D04" w:rsidRPr="00C06D04" w:rsidRDefault="00C06D04" w:rsidP="00C06D04">
      <w:pPr>
        <w:pStyle w:val="Default"/>
        <w:numPr>
          <w:ilvl w:val="0"/>
          <w:numId w:val="2"/>
        </w:numPr>
        <w:rPr>
          <w:rFonts w:asciiTheme="majorBidi" w:hAnsiTheme="majorBidi" w:cstheme="majorBidi"/>
          <w:sz w:val="20"/>
          <w:szCs w:val="20"/>
        </w:rPr>
      </w:pPr>
      <w:r w:rsidRPr="00C06D04">
        <w:rPr>
          <w:rFonts w:asciiTheme="majorBidi" w:hAnsiTheme="majorBidi" w:cstheme="majorBidi"/>
          <w:sz w:val="20"/>
          <w:szCs w:val="20"/>
        </w:rPr>
        <w:t>A- Department of Biology,</w:t>
      </w:r>
      <w:r w:rsidRPr="00C06D04">
        <w:rPr>
          <w:rFonts w:asciiTheme="majorBidi" w:hAnsiTheme="majorBidi" w:cstheme="majorBidi"/>
          <w:color w:val="auto"/>
          <w:sz w:val="20"/>
          <w:szCs w:val="20"/>
        </w:rPr>
        <w:t xml:space="preserve"> </w:t>
      </w:r>
      <w:r w:rsidRPr="00C06D04">
        <w:rPr>
          <w:rFonts w:asciiTheme="majorBidi" w:hAnsiTheme="majorBidi" w:cstheme="majorBidi"/>
          <w:sz w:val="20"/>
          <w:szCs w:val="20"/>
        </w:rPr>
        <w:t xml:space="preserve">Faculty of Science, University of </w:t>
      </w:r>
      <w:proofErr w:type="spellStart"/>
      <w:r w:rsidRPr="00C06D04">
        <w:rPr>
          <w:rFonts w:asciiTheme="majorBidi" w:hAnsiTheme="majorBidi" w:cstheme="majorBidi"/>
          <w:sz w:val="20"/>
          <w:szCs w:val="20"/>
        </w:rPr>
        <w:t>Sfax</w:t>
      </w:r>
      <w:proofErr w:type="spellEnd"/>
      <w:r w:rsidRPr="00C06D04">
        <w:rPr>
          <w:rFonts w:asciiTheme="majorBidi" w:hAnsiTheme="majorBidi" w:cstheme="majorBidi"/>
          <w:sz w:val="20"/>
          <w:szCs w:val="20"/>
        </w:rPr>
        <w:t>, Tunisia.</w:t>
      </w:r>
    </w:p>
    <w:p w:rsidR="00C06D04" w:rsidRPr="00C06D04" w:rsidRDefault="00C06D04" w:rsidP="00C06D04">
      <w:pPr>
        <w:pStyle w:val="Default"/>
        <w:rPr>
          <w:rFonts w:asciiTheme="majorBidi" w:hAnsiTheme="majorBidi" w:cstheme="majorBidi"/>
          <w:sz w:val="20"/>
          <w:szCs w:val="20"/>
        </w:rPr>
      </w:pPr>
      <w:r w:rsidRPr="00C06D04">
        <w:rPr>
          <w:rFonts w:asciiTheme="majorBidi" w:hAnsiTheme="majorBidi" w:cstheme="majorBidi"/>
          <w:sz w:val="20"/>
          <w:szCs w:val="20"/>
        </w:rPr>
        <w:t xml:space="preserve">            B- Department </w:t>
      </w:r>
      <w:proofErr w:type="gramStart"/>
      <w:r w:rsidRPr="00C06D04">
        <w:rPr>
          <w:rFonts w:asciiTheme="majorBidi" w:hAnsiTheme="majorBidi" w:cstheme="majorBidi"/>
          <w:sz w:val="20"/>
          <w:szCs w:val="20"/>
        </w:rPr>
        <w:t>of  Basic</w:t>
      </w:r>
      <w:proofErr w:type="gramEnd"/>
      <w:r w:rsidRPr="00C06D04">
        <w:rPr>
          <w:rFonts w:asciiTheme="majorBidi" w:hAnsiTheme="majorBidi" w:cstheme="majorBidi"/>
          <w:sz w:val="20"/>
          <w:szCs w:val="20"/>
        </w:rPr>
        <w:t xml:space="preserve"> medical science, College of Nursing, University of</w:t>
      </w:r>
    </w:p>
    <w:p w:rsidR="00C06D04" w:rsidRPr="00C06D04" w:rsidRDefault="00C06D04" w:rsidP="00C06D04">
      <w:pPr>
        <w:pStyle w:val="Default"/>
        <w:rPr>
          <w:rFonts w:asciiTheme="majorBidi" w:hAnsiTheme="majorBidi" w:cstheme="majorBidi"/>
          <w:sz w:val="20"/>
          <w:szCs w:val="20"/>
        </w:rPr>
      </w:pPr>
      <w:r w:rsidRPr="00C06D04">
        <w:rPr>
          <w:rFonts w:asciiTheme="majorBidi" w:hAnsiTheme="majorBidi" w:cstheme="majorBidi"/>
          <w:sz w:val="20"/>
          <w:szCs w:val="20"/>
        </w:rPr>
        <w:t xml:space="preserve">             Al-</w:t>
      </w:r>
      <w:proofErr w:type="spellStart"/>
      <w:proofErr w:type="gramStart"/>
      <w:r w:rsidRPr="00C06D04">
        <w:rPr>
          <w:rFonts w:asciiTheme="majorBidi" w:hAnsiTheme="majorBidi" w:cstheme="majorBidi"/>
          <w:sz w:val="20"/>
          <w:szCs w:val="20"/>
        </w:rPr>
        <w:t>Qadisiyah</w:t>
      </w:r>
      <w:proofErr w:type="spellEnd"/>
      <w:r w:rsidRPr="00C06D04">
        <w:rPr>
          <w:rFonts w:asciiTheme="majorBidi" w:hAnsiTheme="majorBidi" w:cstheme="majorBidi"/>
          <w:sz w:val="20"/>
          <w:szCs w:val="20"/>
        </w:rPr>
        <w:t xml:space="preserve"> ,</w:t>
      </w:r>
      <w:proofErr w:type="gramEnd"/>
      <w:r w:rsidRPr="00C06D04">
        <w:rPr>
          <w:rFonts w:asciiTheme="majorBidi" w:hAnsiTheme="majorBidi" w:cstheme="majorBidi"/>
          <w:sz w:val="20"/>
          <w:szCs w:val="20"/>
        </w:rPr>
        <w:t xml:space="preserve"> Iraq</w:t>
      </w:r>
    </w:p>
    <w:p w:rsidR="00C06D04" w:rsidRPr="00C06D04" w:rsidRDefault="00C06D04" w:rsidP="00C06D04">
      <w:pPr>
        <w:pStyle w:val="Default"/>
        <w:numPr>
          <w:ilvl w:val="0"/>
          <w:numId w:val="2"/>
        </w:numPr>
        <w:rPr>
          <w:rFonts w:asciiTheme="majorBidi" w:hAnsiTheme="majorBidi" w:cstheme="majorBidi"/>
          <w:sz w:val="20"/>
          <w:szCs w:val="20"/>
        </w:rPr>
      </w:pPr>
      <w:r w:rsidRPr="00C06D04">
        <w:rPr>
          <w:rFonts w:asciiTheme="majorBidi" w:hAnsiTheme="majorBidi" w:cstheme="majorBidi"/>
          <w:sz w:val="20"/>
          <w:szCs w:val="20"/>
        </w:rPr>
        <w:t xml:space="preserve">Department of </w:t>
      </w:r>
      <w:proofErr w:type="gramStart"/>
      <w:r w:rsidRPr="00C06D04">
        <w:rPr>
          <w:rFonts w:asciiTheme="majorBidi" w:hAnsiTheme="majorBidi" w:cstheme="majorBidi"/>
          <w:sz w:val="20"/>
          <w:szCs w:val="20"/>
        </w:rPr>
        <w:t>Pediatrics ,</w:t>
      </w:r>
      <w:proofErr w:type="spellStart"/>
      <w:r w:rsidRPr="00C06D04">
        <w:rPr>
          <w:rFonts w:asciiTheme="majorBidi" w:hAnsiTheme="majorBidi" w:cstheme="majorBidi"/>
          <w:sz w:val="20"/>
          <w:szCs w:val="20"/>
        </w:rPr>
        <w:t>Hedi</w:t>
      </w:r>
      <w:proofErr w:type="spellEnd"/>
      <w:proofErr w:type="gramEnd"/>
      <w:r w:rsidRPr="00C06D04">
        <w:rPr>
          <w:rFonts w:asciiTheme="majorBidi" w:hAnsiTheme="majorBidi" w:cstheme="majorBidi"/>
          <w:sz w:val="20"/>
          <w:szCs w:val="20"/>
        </w:rPr>
        <w:t xml:space="preserve"> </w:t>
      </w:r>
      <w:proofErr w:type="spellStart"/>
      <w:r w:rsidRPr="00C06D04">
        <w:rPr>
          <w:rFonts w:asciiTheme="majorBidi" w:hAnsiTheme="majorBidi" w:cstheme="majorBidi"/>
          <w:sz w:val="20"/>
          <w:szCs w:val="20"/>
        </w:rPr>
        <w:t>Chaker</w:t>
      </w:r>
      <w:proofErr w:type="spellEnd"/>
      <w:r w:rsidRPr="00C06D04">
        <w:rPr>
          <w:rFonts w:asciiTheme="majorBidi" w:hAnsiTheme="majorBidi" w:cstheme="majorBidi"/>
          <w:sz w:val="20"/>
          <w:szCs w:val="20"/>
        </w:rPr>
        <w:t xml:space="preserve"> Hospital. Faculty of medicine. University of </w:t>
      </w:r>
      <w:proofErr w:type="spellStart"/>
      <w:r w:rsidRPr="00C06D04">
        <w:rPr>
          <w:rFonts w:asciiTheme="majorBidi" w:hAnsiTheme="majorBidi" w:cstheme="majorBidi"/>
          <w:sz w:val="20"/>
          <w:szCs w:val="20"/>
        </w:rPr>
        <w:t>Sfax</w:t>
      </w:r>
      <w:proofErr w:type="spellEnd"/>
      <w:r w:rsidRPr="00C06D04">
        <w:rPr>
          <w:rFonts w:asciiTheme="majorBidi" w:hAnsiTheme="majorBidi" w:cstheme="majorBidi"/>
          <w:sz w:val="20"/>
          <w:szCs w:val="20"/>
        </w:rPr>
        <w:t xml:space="preserve">. Tunisia · </w:t>
      </w:r>
    </w:p>
    <w:p w:rsidR="00C06D04" w:rsidRPr="00C06D04" w:rsidRDefault="00C06D04" w:rsidP="00C06D04">
      <w:pPr>
        <w:pStyle w:val="Default"/>
        <w:numPr>
          <w:ilvl w:val="0"/>
          <w:numId w:val="2"/>
        </w:numPr>
        <w:rPr>
          <w:rFonts w:asciiTheme="majorBidi" w:hAnsiTheme="majorBidi" w:cstheme="majorBidi"/>
          <w:sz w:val="20"/>
          <w:szCs w:val="20"/>
        </w:rPr>
      </w:pPr>
      <w:r w:rsidRPr="00C06D04">
        <w:rPr>
          <w:rFonts w:asciiTheme="majorBidi" w:hAnsiTheme="majorBidi" w:cstheme="majorBidi"/>
          <w:sz w:val="20"/>
          <w:szCs w:val="20"/>
        </w:rPr>
        <w:t xml:space="preserve">Department of Microbiology, College of Veterinary medicine, University of </w:t>
      </w:r>
      <w:proofErr w:type="spellStart"/>
      <w:r w:rsidRPr="00C06D04">
        <w:rPr>
          <w:rFonts w:asciiTheme="majorBidi" w:hAnsiTheme="majorBidi" w:cstheme="majorBidi"/>
          <w:sz w:val="20"/>
          <w:szCs w:val="20"/>
        </w:rPr>
        <w:t>Kerbala</w:t>
      </w:r>
      <w:proofErr w:type="spellEnd"/>
      <w:r w:rsidRPr="00C06D04">
        <w:rPr>
          <w:rFonts w:asciiTheme="majorBidi" w:hAnsiTheme="majorBidi" w:cstheme="majorBidi"/>
          <w:sz w:val="20"/>
          <w:szCs w:val="20"/>
        </w:rPr>
        <w:t>, Iraq.</w:t>
      </w:r>
    </w:p>
    <w:p w:rsidR="00C06D04" w:rsidRPr="00C06D04" w:rsidRDefault="00C06D04" w:rsidP="00C06D04">
      <w:pPr>
        <w:pStyle w:val="Default"/>
        <w:ind w:left="360"/>
        <w:rPr>
          <w:rFonts w:asciiTheme="majorBidi" w:hAnsiTheme="majorBidi" w:cstheme="majorBidi"/>
          <w:sz w:val="20"/>
          <w:szCs w:val="20"/>
        </w:rPr>
      </w:pPr>
    </w:p>
    <w:p w:rsidR="00C06D04" w:rsidRPr="00C06D04" w:rsidRDefault="00C06D04" w:rsidP="00C06D04">
      <w:pPr>
        <w:pStyle w:val="Default"/>
        <w:ind w:left="360"/>
        <w:rPr>
          <w:rFonts w:asciiTheme="majorBidi" w:hAnsiTheme="majorBidi" w:cstheme="majorBidi"/>
          <w:sz w:val="20"/>
          <w:szCs w:val="20"/>
        </w:rPr>
      </w:pPr>
      <w:r w:rsidRPr="00C06D04">
        <w:rPr>
          <w:rFonts w:asciiTheme="majorBidi" w:hAnsiTheme="majorBidi" w:cstheme="majorBidi"/>
          <w:sz w:val="20"/>
          <w:szCs w:val="20"/>
        </w:rPr>
        <w:t>Corresponding author: hasanin.riyadh@qu.edu.iq</w:t>
      </w:r>
    </w:p>
    <w:p w:rsidR="008E7DE6" w:rsidRPr="002906BC" w:rsidRDefault="008E7DE6" w:rsidP="00275B2E">
      <w:pPr>
        <w:pStyle w:val="Default"/>
        <w:spacing w:line="276" w:lineRule="auto"/>
        <w:jc w:val="both"/>
        <w:rPr>
          <w:rFonts w:asciiTheme="majorBidi" w:hAnsiTheme="majorBidi" w:cstheme="majorBidi"/>
          <w:b/>
          <w:bCs/>
        </w:rPr>
      </w:pPr>
    </w:p>
    <w:p w:rsidR="008E7DE6" w:rsidRPr="002906BC" w:rsidRDefault="008E7DE6" w:rsidP="00275B2E">
      <w:pPr>
        <w:pStyle w:val="Default"/>
        <w:spacing w:line="276" w:lineRule="auto"/>
        <w:jc w:val="both"/>
        <w:rPr>
          <w:rFonts w:asciiTheme="majorBidi" w:hAnsiTheme="majorBidi" w:cstheme="majorBidi"/>
          <w:b/>
          <w:bCs/>
        </w:rPr>
      </w:pPr>
      <w:r w:rsidRPr="002906BC">
        <w:rPr>
          <w:rFonts w:asciiTheme="majorBidi" w:hAnsiTheme="majorBidi" w:cstheme="majorBidi"/>
          <w:b/>
          <w:bCs/>
        </w:rPr>
        <w:t>Abstract:</w:t>
      </w:r>
    </w:p>
    <w:p w:rsidR="004231E5" w:rsidRPr="006A4C3B" w:rsidRDefault="000353DC" w:rsidP="000353DC">
      <w:pPr>
        <w:pStyle w:val="Default"/>
        <w:spacing w:line="276" w:lineRule="auto"/>
        <w:jc w:val="both"/>
        <w:rPr>
          <w:rFonts w:asciiTheme="majorBidi" w:hAnsiTheme="majorBidi" w:cstheme="majorBidi"/>
        </w:rPr>
      </w:pPr>
      <w:r>
        <w:rPr>
          <w:rFonts w:asciiTheme="majorBidi" w:hAnsiTheme="majorBidi" w:cstheme="majorBidi"/>
        </w:rPr>
        <w:t xml:space="preserve">     </w:t>
      </w:r>
      <w:r w:rsidR="006A4C3B" w:rsidRPr="006A4C3B">
        <w:rPr>
          <w:rFonts w:asciiTheme="majorBidi" w:hAnsiTheme="majorBidi" w:cstheme="majorBidi"/>
        </w:rPr>
        <w:t xml:space="preserve">The CTLA4 gene, a negative regulator of T cells, has been linked to a higher risk of autoimmune diseases. Using a case–control method, we looked at CTLA4 functional single-nucleotide polymorphisms (SNPs) for potential associations with Type 1 diabetes mellitus in an Iraqi children's population. We used the ARMS-PCR method to genotype +49AG (rs231775) variations in 60 </w:t>
      </w:r>
      <w:r w:rsidR="00D76867">
        <w:rPr>
          <w:rFonts w:asciiTheme="majorBidi" w:hAnsiTheme="majorBidi" w:cstheme="majorBidi"/>
        </w:rPr>
        <w:t xml:space="preserve">obese children </w:t>
      </w:r>
      <w:r w:rsidR="006A4C3B" w:rsidRPr="006A4C3B">
        <w:rPr>
          <w:rFonts w:asciiTheme="majorBidi" w:hAnsiTheme="majorBidi" w:cstheme="majorBidi"/>
        </w:rPr>
        <w:t>patients and</w:t>
      </w:r>
      <w:r w:rsidR="006A4C3B">
        <w:rPr>
          <w:rFonts w:asciiTheme="majorBidi" w:hAnsiTheme="majorBidi" w:cstheme="majorBidi"/>
        </w:rPr>
        <w:t xml:space="preserve"> 60 ethnically matched controls, a</w:t>
      </w:r>
      <w:r w:rsidR="006A4C3B" w:rsidRPr="006A4C3B">
        <w:rPr>
          <w:rFonts w:asciiTheme="majorBidi" w:hAnsiTheme="majorBidi" w:cstheme="majorBidi"/>
        </w:rPr>
        <w:t xml:space="preserve">ll subjects were given anthropometric measurements and biochemical assays (fasting glucose, fasting insulin, and HbA1c). The glucose </w:t>
      </w:r>
      <w:proofErr w:type="gramStart"/>
      <w:r w:rsidR="006A4C3B" w:rsidRPr="006A4C3B">
        <w:rPr>
          <w:rFonts w:asciiTheme="majorBidi" w:hAnsiTheme="majorBidi" w:cstheme="majorBidi"/>
        </w:rPr>
        <w:t>oxidase</w:t>
      </w:r>
      <w:proofErr w:type="gramEnd"/>
      <w:r w:rsidR="006A4C3B" w:rsidRPr="006A4C3B">
        <w:rPr>
          <w:rFonts w:asciiTheme="majorBidi" w:hAnsiTheme="majorBidi" w:cstheme="majorBidi"/>
        </w:rPr>
        <w:t xml:space="preserve"> technique was used to determine plasma glucose levels. The amounts of insulin in the blood were determined using a radioimmunoassay (RIA)</w:t>
      </w:r>
      <w:r w:rsidR="004231E5">
        <w:rPr>
          <w:rFonts w:asciiTheme="majorBidi" w:hAnsiTheme="majorBidi" w:cstheme="majorBidi"/>
        </w:rPr>
        <w:t xml:space="preserve">, </w:t>
      </w:r>
      <w:r w:rsidR="004231E5" w:rsidRPr="004231E5">
        <w:rPr>
          <w:rFonts w:asciiTheme="majorBidi" w:hAnsiTheme="majorBidi" w:cstheme="majorBidi"/>
        </w:rPr>
        <w:t>Insulin resistance was measured using the HOMA-IR index. A HOMA-IR cut-off level of 2.5 was acceptable.</w:t>
      </w:r>
      <w:r w:rsidR="004231E5">
        <w:rPr>
          <w:rFonts w:asciiTheme="majorBidi" w:hAnsiTheme="majorBidi" w:cstheme="majorBidi"/>
        </w:rPr>
        <w:t xml:space="preserve"> </w:t>
      </w:r>
      <w:r w:rsidR="004231E5" w:rsidRPr="004231E5">
        <w:rPr>
          <w:rFonts w:asciiTheme="majorBidi" w:hAnsiTheme="majorBidi" w:cstheme="majorBidi"/>
        </w:rPr>
        <w:t xml:space="preserve">There was no statistically significant difference in allele and genotype frequencies between patients and controls, according to CTLA4 +49AG analyses. In terms of the CT60 SNP, we discovered that AA cases had a </w:t>
      </w:r>
      <w:r w:rsidR="00700A42">
        <w:rPr>
          <w:rFonts w:asciiTheme="majorBidi" w:hAnsiTheme="majorBidi" w:cstheme="majorBidi"/>
        </w:rPr>
        <w:t>highly</w:t>
      </w:r>
      <w:r w:rsidR="004231E5" w:rsidRPr="004231E5">
        <w:rPr>
          <w:rFonts w:asciiTheme="majorBidi" w:hAnsiTheme="majorBidi" w:cstheme="majorBidi"/>
        </w:rPr>
        <w:t xml:space="preserve"> frequency of A/A genotype than healthy participants, but a </w:t>
      </w:r>
      <w:proofErr w:type="gramStart"/>
      <w:r w:rsidR="00700A42">
        <w:rPr>
          <w:rFonts w:asciiTheme="majorBidi" w:hAnsiTheme="majorBidi" w:cstheme="majorBidi"/>
        </w:rPr>
        <w:t xml:space="preserve">lower </w:t>
      </w:r>
      <w:r w:rsidR="004231E5" w:rsidRPr="004231E5">
        <w:rPr>
          <w:rFonts w:asciiTheme="majorBidi" w:hAnsiTheme="majorBidi" w:cstheme="majorBidi"/>
        </w:rPr>
        <w:t xml:space="preserve"> prevalence</w:t>
      </w:r>
      <w:proofErr w:type="gramEnd"/>
      <w:r w:rsidR="004231E5" w:rsidRPr="004231E5">
        <w:rPr>
          <w:rFonts w:asciiTheme="majorBidi" w:hAnsiTheme="majorBidi" w:cstheme="majorBidi"/>
        </w:rPr>
        <w:t xml:space="preserve"> of A/G and G/G genotypes</w:t>
      </w:r>
      <w:r>
        <w:rPr>
          <w:rFonts w:asciiTheme="majorBidi" w:hAnsiTheme="majorBidi" w:cstheme="majorBidi"/>
        </w:rPr>
        <w:t>.</w:t>
      </w:r>
      <w:r w:rsidR="004231E5" w:rsidRPr="004231E5">
        <w:rPr>
          <w:rFonts w:asciiTheme="majorBidi" w:hAnsiTheme="majorBidi" w:cstheme="majorBidi"/>
        </w:rPr>
        <w:t xml:space="preserve"> </w:t>
      </w:r>
    </w:p>
    <w:p w:rsidR="008E7DE6" w:rsidRPr="000353DC" w:rsidRDefault="000353DC" w:rsidP="000353DC">
      <w:pPr>
        <w:pStyle w:val="Default"/>
        <w:spacing w:line="276" w:lineRule="auto"/>
        <w:jc w:val="both"/>
        <w:rPr>
          <w:rFonts w:asciiTheme="majorBidi" w:hAnsiTheme="majorBidi" w:cstheme="majorBidi"/>
          <w:b/>
          <w:bCs/>
          <w:sz w:val="16"/>
          <w:szCs w:val="16"/>
        </w:rPr>
      </w:pPr>
      <w:r>
        <w:rPr>
          <w:rFonts w:asciiTheme="majorBidi" w:hAnsiTheme="majorBidi" w:cstheme="majorBidi"/>
          <w:b/>
          <w:bCs/>
          <w:sz w:val="16"/>
          <w:szCs w:val="16"/>
        </w:rPr>
        <w:t xml:space="preserve">Keywords: Diabetes mellitus type 1, </w:t>
      </w:r>
      <w:r w:rsidRPr="000353DC">
        <w:rPr>
          <w:rFonts w:asciiTheme="majorBidi" w:hAnsiTheme="majorBidi" w:cstheme="majorBidi"/>
          <w:b/>
          <w:bCs/>
          <w:sz w:val="16"/>
          <w:szCs w:val="16"/>
        </w:rPr>
        <w:t>CTLA4</w:t>
      </w:r>
      <w:r>
        <w:rPr>
          <w:rFonts w:asciiTheme="majorBidi" w:hAnsiTheme="majorBidi" w:cstheme="majorBidi"/>
          <w:b/>
          <w:bCs/>
          <w:sz w:val="16"/>
          <w:szCs w:val="16"/>
        </w:rPr>
        <w:t xml:space="preserve">Polymorphism and obese children </w:t>
      </w:r>
    </w:p>
    <w:p w:rsidR="008E7DE6" w:rsidRPr="002906BC" w:rsidRDefault="008E7DE6" w:rsidP="00275B2E">
      <w:pPr>
        <w:pStyle w:val="Default"/>
        <w:spacing w:line="276" w:lineRule="auto"/>
        <w:jc w:val="both"/>
        <w:rPr>
          <w:rFonts w:asciiTheme="majorBidi" w:hAnsiTheme="majorBidi" w:cstheme="majorBidi"/>
          <w:b/>
          <w:bCs/>
        </w:rPr>
      </w:pPr>
    </w:p>
    <w:p w:rsidR="008E7DE6" w:rsidRPr="002906BC" w:rsidRDefault="008E7DE6" w:rsidP="00275B2E">
      <w:pPr>
        <w:pStyle w:val="Default"/>
        <w:spacing w:line="276" w:lineRule="auto"/>
        <w:jc w:val="both"/>
        <w:rPr>
          <w:rFonts w:asciiTheme="majorBidi" w:hAnsiTheme="majorBidi" w:cstheme="majorBidi"/>
        </w:rPr>
      </w:pPr>
      <w:r w:rsidRPr="002906BC">
        <w:rPr>
          <w:rFonts w:asciiTheme="majorBidi" w:hAnsiTheme="majorBidi" w:cstheme="majorBidi"/>
          <w:b/>
          <w:bCs/>
        </w:rPr>
        <w:t xml:space="preserve">INTRODUCTION </w:t>
      </w:r>
    </w:p>
    <w:p w:rsidR="008E7DE6" w:rsidRPr="002906BC" w:rsidRDefault="008E7DE6" w:rsidP="00275B2E">
      <w:pPr>
        <w:pStyle w:val="Default"/>
        <w:spacing w:line="276" w:lineRule="auto"/>
        <w:jc w:val="both"/>
        <w:rPr>
          <w:rFonts w:asciiTheme="majorBidi" w:hAnsiTheme="majorBidi" w:cstheme="majorBidi"/>
        </w:rPr>
      </w:pPr>
    </w:p>
    <w:p w:rsidR="008E7DE6" w:rsidRPr="002906BC" w:rsidRDefault="008E7DE6" w:rsidP="00275B2E">
      <w:pPr>
        <w:pStyle w:val="Default"/>
        <w:spacing w:line="276" w:lineRule="auto"/>
        <w:jc w:val="both"/>
        <w:rPr>
          <w:rFonts w:asciiTheme="majorBidi" w:hAnsiTheme="majorBidi" w:cstheme="majorBidi"/>
        </w:rPr>
      </w:pPr>
      <w:r w:rsidRPr="002906BC">
        <w:rPr>
          <w:rFonts w:asciiTheme="majorBidi" w:hAnsiTheme="majorBidi" w:cstheme="majorBidi"/>
        </w:rPr>
        <w:t xml:space="preserve">     Type 1 diabetes is a chronic illness characterized by the body’s inability to produce insulin due to the autoimmune destruction of the beta cells in the pancreas. Most pediatric patients with diabetes have type 1 and a lifetime dependence on exogenous insulin</w:t>
      </w:r>
      <w:r w:rsidR="003142C4" w:rsidRPr="002906BC">
        <w:rPr>
          <w:rFonts w:asciiTheme="majorBidi" w:hAnsiTheme="majorBidi" w:cstheme="majorBidi"/>
        </w:rPr>
        <w:t xml:space="preserve"> (</w:t>
      </w:r>
      <w:proofErr w:type="spellStart"/>
      <w:r w:rsidR="003142C4" w:rsidRPr="002906BC">
        <w:rPr>
          <w:rFonts w:asciiTheme="majorBidi" w:hAnsiTheme="majorBidi" w:cstheme="majorBidi"/>
        </w:rPr>
        <w:t>Marchini</w:t>
      </w:r>
      <w:proofErr w:type="spellEnd"/>
      <w:r w:rsidR="003142C4" w:rsidRPr="002906BC">
        <w:rPr>
          <w:rFonts w:asciiTheme="majorBidi" w:hAnsiTheme="majorBidi" w:cstheme="majorBidi"/>
        </w:rPr>
        <w:t xml:space="preserve"> et al., 2018)</w:t>
      </w:r>
      <w:r w:rsidRPr="002906BC">
        <w:rPr>
          <w:rFonts w:asciiTheme="majorBidi" w:hAnsiTheme="majorBidi" w:cstheme="majorBidi"/>
        </w:rPr>
        <w:t>.</w:t>
      </w:r>
    </w:p>
    <w:p w:rsidR="008E7DE6" w:rsidRPr="002906BC" w:rsidRDefault="008E7DE6" w:rsidP="00275B2E">
      <w:pPr>
        <w:pStyle w:val="Default"/>
        <w:spacing w:line="276" w:lineRule="auto"/>
        <w:jc w:val="both"/>
        <w:rPr>
          <w:rFonts w:asciiTheme="majorBidi" w:hAnsiTheme="majorBidi" w:cstheme="majorBidi"/>
        </w:rPr>
      </w:pPr>
      <w:r w:rsidRPr="002906BC">
        <w:rPr>
          <w:rFonts w:asciiTheme="majorBidi" w:hAnsiTheme="majorBidi" w:cstheme="majorBidi"/>
        </w:rPr>
        <w:t xml:space="preserve">     T1D is a complex autoimmune disease characterized by T-cell-mediated destruction of the pancreatic island. Human leukocyte antigen (HLAs) account for about 60% of genetic susceptibility for the disease. About 20 non-HLA loci contributing to disease susceptibility have been identified. One among these is the CTLA-4 gene. CTLA-4 polymorphisms are associated</w:t>
      </w:r>
      <w:r w:rsidR="00BA24B1" w:rsidRPr="002906BC">
        <w:rPr>
          <w:rFonts w:asciiTheme="majorBidi" w:hAnsiTheme="majorBidi" w:cstheme="majorBidi"/>
        </w:rPr>
        <w:t xml:space="preserve"> </w:t>
      </w:r>
      <w:r w:rsidRPr="002906BC">
        <w:rPr>
          <w:rFonts w:asciiTheme="majorBidi" w:hAnsiTheme="majorBidi" w:cstheme="majorBidi"/>
        </w:rPr>
        <w:t>with T1D in some but not all populations</w:t>
      </w:r>
      <w:r w:rsidR="000F7737" w:rsidRPr="002906BC">
        <w:rPr>
          <w:rFonts w:asciiTheme="majorBidi" w:hAnsiTheme="majorBidi" w:cstheme="majorBidi"/>
        </w:rPr>
        <w:t xml:space="preserve"> (Ihara et al., 2001)</w:t>
      </w:r>
      <w:r w:rsidRPr="002906BC">
        <w:rPr>
          <w:rFonts w:asciiTheme="majorBidi" w:hAnsiTheme="majorBidi" w:cstheme="majorBidi"/>
        </w:rPr>
        <w:t xml:space="preserve">. </w:t>
      </w:r>
    </w:p>
    <w:p w:rsidR="008E7DE6" w:rsidRPr="002906BC" w:rsidRDefault="008E7DE6" w:rsidP="000F7737">
      <w:pPr>
        <w:pStyle w:val="Default"/>
        <w:spacing w:line="276" w:lineRule="auto"/>
        <w:jc w:val="both"/>
        <w:rPr>
          <w:rFonts w:asciiTheme="majorBidi" w:hAnsiTheme="majorBidi" w:cstheme="majorBidi"/>
        </w:rPr>
      </w:pPr>
      <w:r w:rsidRPr="002906BC">
        <w:rPr>
          <w:rFonts w:asciiTheme="majorBidi" w:hAnsiTheme="majorBidi" w:cstheme="majorBidi"/>
        </w:rPr>
        <w:t>Type 1 diabetes is a disease that involves many genes. The risk of a child developing type 1 diabetes is about 5% if the father has it, about 8% if a sibling has it, and about 3% if the mother has it</w:t>
      </w:r>
      <w:r w:rsidR="000F7737" w:rsidRPr="002906BC">
        <w:rPr>
          <w:rFonts w:asciiTheme="majorBidi" w:hAnsiTheme="majorBidi" w:cstheme="majorBidi"/>
        </w:rPr>
        <w:t xml:space="preserve">. </w:t>
      </w:r>
      <w:r w:rsidRPr="002906BC">
        <w:rPr>
          <w:rFonts w:asciiTheme="majorBidi" w:hAnsiTheme="majorBidi" w:cstheme="majorBidi"/>
        </w:rPr>
        <w:t xml:space="preserve"> If one identical twin is affected there is about a 40% to 50% </w:t>
      </w:r>
      <w:r w:rsidRPr="002906BC">
        <w:rPr>
          <w:rFonts w:asciiTheme="majorBidi" w:hAnsiTheme="majorBidi" w:cstheme="majorBidi"/>
        </w:rPr>
        <w:lastRenderedPageBreak/>
        <w:t>chance the other will be too</w:t>
      </w:r>
      <w:r w:rsidR="000F7737" w:rsidRPr="002906BC">
        <w:rPr>
          <w:rFonts w:asciiTheme="majorBidi" w:hAnsiTheme="majorBidi" w:cstheme="majorBidi"/>
        </w:rPr>
        <w:t xml:space="preserve">. </w:t>
      </w:r>
      <w:r w:rsidRPr="002906BC">
        <w:rPr>
          <w:rFonts w:asciiTheme="majorBidi" w:hAnsiTheme="majorBidi" w:cstheme="majorBidi"/>
        </w:rPr>
        <w:t>Some studies of heritability have estimated it at 80 to 86%</w:t>
      </w:r>
      <w:r w:rsidR="000F7737" w:rsidRPr="002906BC">
        <w:rPr>
          <w:rFonts w:asciiTheme="majorBidi" w:hAnsiTheme="majorBidi" w:cstheme="majorBidi"/>
        </w:rPr>
        <w:t xml:space="preserve"> (</w:t>
      </w:r>
      <w:r w:rsidR="00ED56F4" w:rsidRPr="002906BC">
        <w:rPr>
          <w:rFonts w:asciiTheme="majorBidi" w:hAnsiTheme="majorBidi" w:cstheme="majorBidi"/>
          <w:lang w:bidi="ar-IQ"/>
        </w:rPr>
        <w:t>Marshall et al., 2009</w:t>
      </w:r>
      <w:r w:rsidR="000F7737" w:rsidRPr="002906BC">
        <w:rPr>
          <w:rFonts w:asciiTheme="majorBidi" w:hAnsiTheme="majorBidi" w:cstheme="majorBidi"/>
        </w:rPr>
        <w:t>).</w:t>
      </w:r>
    </w:p>
    <w:p w:rsidR="008E7DE6" w:rsidRPr="002906BC" w:rsidRDefault="008E7DE6" w:rsidP="00E15CB8">
      <w:pPr>
        <w:pStyle w:val="Default"/>
        <w:spacing w:line="276" w:lineRule="auto"/>
        <w:jc w:val="both"/>
        <w:rPr>
          <w:rFonts w:asciiTheme="majorBidi" w:hAnsiTheme="majorBidi" w:cstheme="majorBidi"/>
          <w:color w:val="auto"/>
        </w:rPr>
      </w:pPr>
      <w:r w:rsidRPr="002906BC">
        <w:rPr>
          <w:rFonts w:asciiTheme="majorBidi" w:hAnsiTheme="majorBidi" w:cstheme="majorBidi"/>
        </w:rPr>
        <w:t xml:space="preserve">     More than 50 genes are associated with type 1 diabetes. Depending on locus or combination of loci, they can be dominant, recessive, or somewhere in between. The strongest gene, IDDM1, is located in the MHC Class II region on chromosome 6, at staining region 6p21. Certain variants of this gene increase the risk for decreased histocompatibility characteristic of type 1. Such variants include DRB1 0401, DRB1 0402, DRB1 0405, DQA 0301, DQB1 0302 and DQB1 0201, which are common in </w:t>
      </w:r>
      <w:proofErr w:type="gramStart"/>
      <w:r w:rsidRPr="002906BC">
        <w:rPr>
          <w:rFonts w:asciiTheme="majorBidi" w:hAnsiTheme="majorBidi" w:cstheme="majorBidi"/>
        </w:rPr>
        <w:t xml:space="preserve">North </w:t>
      </w:r>
      <w:r w:rsidRPr="002906BC">
        <w:rPr>
          <w:rFonts w:asciiTheme="majorBidi" w:hAnsiTheme="majorBidi" w:cstheme="majorBidi"/>
          <w:color w:val="auto"/>
        </w:rPr>
        <w:t xml:space="preserve"> Americans</w:t>
      </w:r>
      <w:proofErr w:type="gramEnd"/>
      <w:r w:rsidRPr="002906BC">
        <w:rPr>
          <w:rFonts w:asciiTheme="majorBidi" w:hAnsiTheme="majorBidi" w:cstheme="majorBidi"/>
          <w:color w:val="auto"/>
        </w:rPr>
        <w:t xml:space="preserve"> of European ancestry and in Europeans</w:t>
      </w:r>
      <w:r w:rsidR="00ED56F4" w:rsidRPr="002906BC">
        <w:rPr>
          <w:rFonts w:asciiTheme="majorBidi" w:hAnsiTheme="majorBidi" w:cstheme="majorBidi"/>
          <w:color w:val="auto"/>
        </w:rPr>
        <w:t xml:space="preserve"> </w:t>
      </w:r>
      <w:r w:rsidRPr="002906BC">
        <w:rPr>
          <w:rFonts w:asciiTheme="majorBidi" w:hAnsiTheme="majorBidi" w:cstheme="majorBidi"/>
          <w:color w:val="auto"/>
        </w:rPr>
        <w:t>[</w:t>
      </w:r>
      <w:r w:rsidR="00ED56F4" w:rsidRPr="002906BC">
        <w:rPr>
          <w:rFonts w:asciiTheme="majorBidi" w:hAnsiTheme="majorBidi" w:cstheme="majorBidi"/>
          <w:lang w:bidi="ar-IQ"/>
        </w:rPr>
        <w:t>Mack</w:t>
      </w:r>
      <w:r w:rsidR="00ED56F4" w:rsidRPr="002906BC">
        <w:rPr>
          <w:rFonts w:asciiTheme="majorBidi" w:hAnsiTheme="majorBidi" w:cstheme="majorBidi"/>
          <w:color w:val="auto"/>
        </w:rPr>
        <w:t xml:space="preserve"> et al., 2009</w:t>
      </w:r>
      <w:r w:rsidRPr="002906BC">
        <w:rPr>
          <w:rFonts w:asciiTheme="majorBidi" w:hAnsiTheme="majorBidi" w:cstheme="majorBidi"/>
          <w:color w:val="auto"/>
        </w:rPr>
        <w:t>]</w:t>
      </w:r>
      <w:r w:rsidR="00ED56F4" w:rsidRPr="002906BC">
        <w:rPr>
          <w:rFonts w:asciiTheme="majorBidi" w:hAnsiTheme="majorBidi" w:cstheme="majorBidi"/>
          <w:color w:val="auto"/>
        </w:rPr>
        <w:t xml:space="preserve">. </w:t>
      </w:r>
      <w:r w:rsidRPr="002906BC">
        <w:rPr>
          <w:rFonts w:asciiTheme="majorBidi" w:hAnsiTheme="majorBidi" w:cstheme="majorBidi"/>
          <w:color w:val="auto"/>
        </w:rPr>
        <w:t xml:space="preserve"> The cause of type 1 diabetes is unknown</w:t>
      </w:r>
      <w:proofErr w:type="gramStart"/>
      <w:r w:rsidRPr="002906BC">
        <w:rPr>
          <w:rFonts w:asciiTheme="majorBidi" w:hAnsiTheme="majorBidi" w:cstheme="majorBidi"/>
          <w:color w:val="auto"/>
        </w:rPr>
        <w:t>,</w:t>
      </w:r>
      <w:r w:rsidR="00611E05" w:rsidRPr="002906BC">
        <w:rPr>
          <w:rFonts w:asciiTheme="majorBidi" w:hAnsiTheme="majorBidi" w:cstheme="majorBidi"/>
          <w:color w:val="auto"/>
        </w:rPr>
        <w:t>(</w:t>
      </w:r>
      <w:proofErr w:type="gramEnd"/>
      <w:r w:rsidR="00611E05" w:rsidRPr="002906BC">
        <w:rPr>
          <w:rFonts w:asciiTheme="majorBidi" w:hAnsiTheme="majorBidi" w:cstheme="majorBidi"/>
          <w:lang w:bidi="ar-IQ"/>
        </w:rPr>
        <w:t xml:space="preserve"> </w:t>
      </w:r>
      <w:proofErr w:type="spellStart"/>
      <w:r w:rsidR="00611E05" w:rsidRPr="002906BC">
        <w:rPr>
          <w:rFonts w:asciiTheme="majorBidi" w:hAnsiTheme="majorBidi" w:cstheme="majorBidi"/>
          <w:lang w:bidi="ar-IQ"/>
        </w:rPr>
        <w:t>Piñero-Piloña</w:t>
      </w:r>
      <w:proofErr w:type="spellEnd"/>
      <w:r w:rsidR="00611E05" w:rsidRPr="002906BC">
        <w:rPr>
          <w:rFonts w:asciiTheme="majorBidi" w:hAnsiTheme="majorBidi" w:cstheme="majorBidi"/>
          <w:lang w:bidi="ar-IQ"/>
        </w:rPr>
        <w:t xml:space="preserve">, &amp; </w:t>
      </w:r>
      <w:proofErr w:type="spellStart"/>
      <w:r w:rsidR="00611E05" w:rsidRPr="002906BC">
        <w:rPr>
          <w:rFonts w:asciiTheme="majorBidi" w:hAnsiTheme="majorBidi" w:cstheme="majorBidi"/>
          <w:lang w:bidi="ar-IQ"/>
        </w:rPr>
        <w:t>Raskin</w:t>
      </w:r>
      <w:proofErr w:type="spellEnd"/>
      <w:r w:rsidR="00611E05" w:rsidRPr="002906BC">
        <w:rPr>
          <w:rFonts w:asciiTheme="majorBidi" w:hAnsiTheme="majorBidi" w:cstheme="majorBidi"/>
          <w:lang w:bidi="ar-IQ"/>
        </w:rPr>
        <w:t>, (2001</w:t>
      </w:r>
      <w:r w:rsidR="00611E05" w:rsidRPr="002906BC">
        <w:rPr>
          <w:rFonts w:asciiTheme="majorBidi" w:hAnsiTheme="majorBidi" w:cstheme="majorBidi"/>
          <w:color w:val="auto"/>
        </w:rPr>
        <w:t>))</w:t>
      </w:r>
      <w:r w:rsidRPr="002906BC">
        <w:rPr>
          <w:rFonts w:asciiTheme="majorBidi" w:hAnsiTheme="majorBidi" w:cstheme="majorBidi"/>
          <w:color w:val="auto"/>
        </w:rPr>
        <w:t xml:space="preserve"> but it is believed to involve a combination of genetic and environmental factors</w:t>
      </w:r>
      <w:r w:rsidR="00611E05" w:rsidRPr="002906BC">
        <w:rPr>
          <w:rFonts w:asciiTheme="majorBidi" w:hAnsiTheme="majorBidi" w:cstheme="majorBidi"/>
          <w:color w:val="auto"/>
        </w:rPr>
        <w:t xml:space="preserve"> (</w:t>
      </w:r>
      <w:proofErr w:type="spellStart"/>
      <w:r w:rsidR="00611E05" w:rsidRPr="002906BC">
        <w:rPr>
          <w:rFonts w:asciiTheme="majorBidi" w:hAnsiTheme="majorBidi" w:cstheme="majorBidi"/>
          <w:color w:val="auto"/>
        </w:rPr>
        <w:t>Hirschhorn</w:t>
      </w:r>
      <w:proofErr w:type="spellEnd"/>
      <w:r w:rsidR="00611E05" w:rsidRPr="002906BC">
        <w:rPr>
          <w:rFonts w:asciiTheme="majorBidi" w:hAnsiTheme="majorBidi" w:cstheme="majorBidi"/>
          <w:color w:val="auto"/>
        </w:rPr>
        <w:t xml:space="preserve">, 2003) </w:t>
      </w:r>
      <w:r w:rsidRPr="002906BC">
        <w:rPr>
          <w:rFonts w:asciiTheme="majorBidi" w:hAnsiTheme="majorBidi" w:cstheme="majorBidi"/>
          <w:color w:val="auto"/>
        </w:rPr>
        <w:t>The underlying mechanism involves an autoimmune destruction of the insulin producing beta cells in the pancreas</w:t>
      </w:r>
      <w:r w:rsidR="00611E05" w:rsidRPr="002906BC">
        <w:rPr>
          <w:rFonts w:asciiTheme="majorBidi" w:hAnsiTheme="majorBidi" w:cstheme="majorBidi"/>
          <w:color w:val="auto"/>
        </w:rPr>
        <w:t xml:space="preserve"> (</w:t>
      </w:r>
      <w:proofErr w:type="spellStart"/>
      <w:r w:rsidR="00611E05" w:rsidRPr="002906BC">
        <w:rPr>
          <w:rFonts w:asciiTheme="majorBidi" w:hAnsiTheme="majorBidi" w:cstheme="majorBidi"/>
          <w:lang w:bidi="ar-IQ"/>
        </w:rPr>
        <w:t>Pirot</w:t>
      </w:r>
      <w:proofErr w:type="spellEnd"/>
      <w:r w:rsidR="00611E05" w:rsidRPr="002906BC">
        <w:rPr>
          <w:rFonts w:asciiTheme="majorBidi" w:hAnsiTheme="majorBidi" w:cstheme="majorBidi"/>
          <w:color w:val="auto"/>
        </w:rPr>
        <w:t>, 2008).</w:t>
      </w:r>
      <w:r w:rsidRPr="002906BC">
        <w:rPr>
          <w:rFonts w:asciiTheme="majorBidi" w:hAnsiTheme="majorBidi" w:cstheme="majorBidi"/>
          <w:color w:val="auto"/>
        </w:rPr>
        <w:t xml:space="preserve"> Diabetes is diagnosed by testing the level of sugar or glycated hemoglobin (HbA1C) in the blood</w:t>
      </w:r>
      <w:r w:rsidR="00611E05" w:rsidRPr="002906BC">
        <w:rPr>
          <w:rFonts w:asciiTheme="majorBidi" w:hAnsiTheme="majorBidi" w:cstheme="majorBidi"/>
          <w:color w:val="auto"/>
        </w:rPr>
        <w:t xml:space="preserve"> (</w:t>
      </w:r>
      <w:proofErr w:type="spellStart"/>
      <w:r w:rsidR="00611E05" w:rsidRPr="002906BC">
        <w:rPr>
          <w:rFonts w:asciiTheme="majorBidi" w:hAnsiTheme="majorBidi" w:cstheme="majorBidi"/>
          <w:color w:val="auto"/>
        </w:rPr>
        <w:t>Ghazanfari</w:t>
      </w:r>
      <w:proofErr w:type="spellEnd"/>
      <w:r w:rsidR="00611E05" w:rsidRPr="002906BC">
        <w:rPr>
          <w:rFonts w:asciiTheme="majorBidi" w:hAnsiTheme="majorBidi" w:cstheme="majorBidi"/>
          <w:color w:val="auto"/>
        </w:rPr>
        <w:t>, et al 2010).</w:t>
      </w:r>
      <w:r w:rsidRPr="002906BC">
        <w:rPr>
          <w:rFonts w:asciiTheme="majorBidi" w:hAnsiTheme="majorBidi" w:cstheme="majorBidi"/>
          <w:color w:val="auto"/>
        </w:rPr>
        <w:t>Type 1 diabetes can be distinguished from type 2 by testing for the presence of autoantibodies</w:t>
      </w:r>
      <w:r w:rsidR="00E15CB8" w:rsidRPr="002906BC">
        <w:rPr>
          <w:rFonts w:asciiTheme="majorBidi" w:hAnsiTheme="majorBidi" w:cstheme="majorBidi"/>
          <w:color w:val="auto"/>
        </w:rPr>
        <w:t xml:space="preserve"> (Palmer, 2005). </w:t>
      </w:r>
    </w:p>
    <w:p w:rsidR="008E7DE6" w:rsidRPr="002906BC" w:rsidRDefault="008E7DE6" w:rsidP="00E770AB">
      <w:pPr>
        <w:pStyle w:val="Default"/>
        <w:spacing w:line="276" w:lineRule="auto"/>
        <w:jc w:val="both"/>
        <w:rPr>
          <w:rFonts w:asciiTheme="majorBidi" w:hAnsiTheme="majorBidi" w:cstheme="majorBidi"/>
          <w:color w:val="auto"/>
        </w:rPr>
      </w:pPr>
      <w:r w:rsidRPr="002906BC">
        <w:rPr>
          <w:rFonts w:asciiTheme="majorBidi" w:hAnsiTheme="majorBidi" w:cstheme="majorBidi"/>
          <w:color w:val="auto"/>
        </w:rPr>
        <w:t xml:space="preserve">     Type 1 diabetes makes up an estimated 5–10% of all diabetes cases</w:t>
      </w:r>
      <w:r w:rsidR="005F55DD" w:rsidRPr="002906BC">
        <w:rPr>
          <w:rFonts w:asciiTheme="majorBidi" w:hAnsiTheme="majorBidi" w:cstheme="majorBidi"/>
          <w:color w:val="auto"/>
        </w:rPr>
        <w:t xml:space="preserve"> </w:t>
      </w:r>
      <w:r w:rsidR="00E15CB8" w:rsidRPr="002906BC">
        <w:rPr>
          <w:rFonts w:asciiTheme="majorBidi" w:hAnsiTheme="majorBidi" w:cstheme="majorBidi"/>
          <w:color w:val="auto"/>
        </w:rPr>
        <w:t>(</w:t>
      </w:r>
      <w:r w:rsidR="00E15CB8" w:rsidRPr="002906BC">
        <w:rPr>
          <w:rFonts w:asciiTheme="majorBidi" w:hAnsiTheme="majorBidi" w:cstheme="majorBidi"/>
          <w:lang w:bidi="ar-IQ"/>
        </w:rPr>
        <w:t>Patterson et al., 2019</w:t>
      </w:r>
      <w:r w:rsidR="00E15CB8" w:rsidRPr="002906BC">
        <w:rPr>
          <w:rFonts w:asciiTheme="majorBidi" w:hAnsiTheme="majorBidi" w:cstheme="majorBidi"/>
          <w:color w:val="auto"/>
        </w:rPr>
        <w:t>).</w:t>
      </w:r>
      <w:r w:rsidRPr="002906BC">
        <w:rPr>
          <w:rFonts w:asciiTheme="majorBidi" w:hAnsiTheme="majorBidi" w:cstheme="majorBidi"/>
          <w:color w:val="auto"/>
        </w:rPr>
        <w:t xml:space="preserve"> </w:t>
      </w:r>
      <w:r w:rsidR="00E15CB8" w:rsidRPr="002906BC">
        <w:rPr>
          <w:rFonts w:asciiTheme="majorBidi" w:hAnsiTheme="majorBidi" w:cstheme="majorBidi"/>
          <w:color w:val="auto"/>
        </w:rPr>
        <w:t>In fact, before the age of five, 80</w:t>
      </w:r>
      <w:r w:rsidR="005F55DD" w:rsidRPr="002906BC">
        <w:rPr>
          <w:rFonts w:asciiTheme="majorBidi" w:hAnsiTheme="majorBidi" w:cstheme="majorBidi"/>
          <w:color w:val="auto"/>
        </w:rPr>
        <w:t>%</w:t>
      </w:r>
      <w:r w:rsidR="00E15CB8" w:rsidRPr="002906BC">
        <w:rPr>
          <w:rFonts w:asciiTheme="majorBidi" w:hAnsiTheme="majorBidi" w:cstheme="majorBidi"/>
          <w:color w:val="auto"/>
        </w:rPr>
        <w:t xml:space="preserve"> of children with type 1 diabetes have multiple islet autoantibodies</w:t>
      </w:r>
      <w:r w:rsidR="005F55DD" w:rsidRPr="002906BC">
        <w:rPr>
          <w:rFonts w:asciiTheme="majorBidi" w:hAnsiTheme="majorBidi" w:cstheme="majorBidi"/>
          <w:color w:val="auto"/>
        </w:rPr>
        <w:t xml:space="preserve"> (</w:t>
      </w:r>
      <w:r w:rsidR="005F55DD" w:rsidRPr="002906BC">
        <w:rPr>
          <w:rFonts w:asciiTheme="majorBidi" w:hAnsiTheme="majorBidi" w:cstheme="majorBidi"/>
          <w:lang w:bidi="ar-IQ"/>
        </w:rPr>
        <w:t>Ziegler</w:t>
      </w:r>
      <w:r w:rsidR="005F55DD" w:rsidRPr="002906BC">
        <w:rPr>
          <w:rFonts w:asciiTheme="majorBidi" w:hAnsiTheme="majorBidi" w:cstheme="majorBidi"/>
          <w:color w:val="auto"/>
        </w:rPr>
        <w:t xml:space="preserve"> et al.</w:t>
      </w:r>
      <w:proofErr w:type="gramStart"/>
      <w:r w:rsidR="005F55DD" w:rsidRPr="002906BC">
        <w:rPr>
          <w:rFonts w:asciiTheme="majorBidi" w:hAnsiTheme="majorBidi" w:cstheme="majorBidi"/>
          <w:color w:val="auto"/>
        </w:rPr>
        <w:t>,2013</w:t>
      </w:r>
      <w:proofErr w:type="gramEnd"/>
      <w:r w:rsidR="005F55DD" w:rsidRPr="002906BC">
        <w:rPr>
          <w:rFonts w:asciiTheme="majorBidi" w:hAnsiTheme="majorBidi" w:cstheme="majorBidi"/>
          <w:color w:val="auto"/>
        </w:rPr>
        <w:t>).</w:t>
      </w:r>
      <w:r w:rsidRPr="002906BC">
        <w:rPr>
          <w:rFonts w:asciiTheme="majorBidi" w:hAnsiTheme="majorBidi" w:cstheme="majorBidi"/>
          <w:color w:val="auto"/>
        </w:rPr>
        <w:t xml:space="preserve"> </w:t>
      </w:r>
      <w:r w:rsidR="005F55DD" w:rsidRPr="002906BC">
        <w:rPr>
          <w:rFonts w:asciiTheme="majorBidi" w:hAnsiTheme="majorBidi" w:cstheme="majorBidi"/>
          <w:color w:val="auto"/>
        </w:rPr>
        <w:t xml:space="preserve">Globally, 451 million persons (aged 18–99 years) were predicted to have diabetes in 2017. By 2045, these numbers were predicted to reach 693 million. Nearly half of all people living with diabetes (49.7 %) are expected to be undiagnosed, in addition around 5 million fatalities globally were attributed to diabetes in the age group of 20–99 years in </w:t>
      </w:r>
      <w:r w:rsidR="00E770AB" w:rsidRPr="002906BC">
        <w:rPr>
          <w:rFonts w:asciiTheme="majorBidi" w:hAnsiTheme="majorBidi" w:cstheme="majorBidi"/>
          <w:color w:val="auto"/>
        </w:rPr>
        <w:t>every years (Cho, et al., 2018)</w:t>
      </w:r>
      <w:r w:rsidR="005F55DD" w:rsidRPr="002906BC">
        <w:rPr>
          <w:rFonts w:asciiTheme="majorBidi" w:hAnsiTheme="majorBidi" w:cstheme="majorBidi"/>
          <w:color w:val="auto"/>
        </w:rPr>
        <w:t>.</w:t>
      </w:r>
      <w:r w:rsidRPr="002906BC">
        <w:rPr>
          <w:rFonts w:asciiTheme="majorBidi" w:hAnsiTheme="majorBidi" w:cstheme="majorBidi"/>
          <w:color w:val="auto"/>
        </w:rPr>
        <w:t xml:space="preserve"> </w:t>
      </w:r>
    </w:p>
    <w:p w:rsidR="008E7DE6" w:rsidRPr="002906BC" w:rsidRDefault="008E7DE6" w:rsidP="008732D3">
      <w:pPr>
        <w:pStyle w:val="Default"/>
        <w:spacing w:line="276" w:lineRule="auto"/>
        <w:jc w:val="both"/>
        <w:rPr>
          <w:rFonts w:asciiTheme="majorBidi" w:hAnsiTheme="majorBidi" w:cstheme="majorBidi"/>
          <w:color w:val="auto"/>
        </w:rPr>
      </w:pPr>
      <w:r w:rsidRPr="002906BC">
        <w:rPr>
          <w:rFonts w:asciiTheme="majorBidi" w:hAnsiTheme="majorBidi" w:cstheme="majorBidi"/>
          <w:color w:val="auto"/>
        </w:rPr>
        <w:t xml:space="preserve">      HLAs account for about 60% of genetic susceptibility for the disease. About 20 non-HLA loci contributing to disease susceptibility have been identified. The function of only two non-HLA loci is known: the insulin gene and the cytotoxic T-lymphocyte antigen-4 (CTLA-4) gene</w:t>
      </w:r>
      <w:r w:rsidR="008732D3" w:rsidRPr="002906BC">
        <w:rPr>
          <w:rFonts w:asciiTheme="majorBidi" w:hAnsiTheme="majorBidi" w:cstheme="majorBidi"/>
          <w:color w:val="auto"/>
        </w:rPr>
        <w:t xml:space="preserve"> (</w:t>
      </w:r>
      <w:proofErr w:type="spellStart"/>
      <w:r w:rsidR="008732D3" w:rsidRPr="002906BC">
        <w:rPr>
          <w:rFonts w:asciiTheme="majorBidi" w:hAnsiTheme="majorBidi" w:cstheme="majorBidi"/>
          <w:color w:val="auto"/>
        </w:rPr>
        <w:t>Pociot</w:t>
      </w:r>
      <w:proofErr w:type="spellEnd"/>
      <w:r w:rsidR="008732D3" w:rsidRPr="002906BC">
        <w:rPr>
          <w:rFonts w:asciiTheme="majorBidi" w:hAnsiTheme="majorBidi" w:cstheme="majorBidi"/>
          <w:color w:val="auto"/>
        </w:rPr>
        <w:t>, &amp; McDermott, 2002).</w:t>
      </w:r>
    </w:p>
    <w:p w:rsidR="008E7DE6" w:rsidRPr="002906BC" w:rsidRDefault="008E7DE6" w:rsidP="00275B2E">
      <w:pPr>
        <w:pStyle w:val="Default"/>
        <w:spacing w:line="276" w:lineRule="auto"/>
        <w:jc w:val="both"/>
        <w:rPr>
          <w:rFonts w:asciiTheme="majorBidi" w:hAnsiTheme="majorBidi" w:cstheme="majorBidi"/>
          <w:color w:val="auto"/>
        </w:rPr>
      </w:pPr>
      <w:r w:rsidRPr="002906BC">
        <w:rPr>
          <w:rFonts w:asciiTheme="majorBidi" w:hAnsiTheme="majorBidi" w:cstheme="majorBidi"/>
          <w:color w:val="auto"/>
        </w:rPr>
        <w:t xml:space="preserve">     The CTLA-4 receptor is found on the surface of T cells. The T-cell attack can be turned off by stimulating the CTLA-4 receptor, which acts as an </w:t>
      </w:r>
      <w:proofErr w:type="gramStart"/>
      <w:r w:rsidRPr="002906BC">
        <w:rPr>
          <w:rFonts w:asciiTheme="majorBidi" w:hAnsiTheme="majorBidi" w:cstheme="majorBidi"/>
          <w:color w:val="auto"/>
        </w:rPr>
        <w:t>‘off ’</w:t>
      </w:r>
      <w:proofErr w:type="gramEnd"/>
      <w:r w:rsidRPr="002906BC">
        <w:rPr>
          <w:rFonts w:asciiTheme="majorBidi" w:hAnsiTheme="majorBidi" w:cstheme="majorBidi"/>
          <w:color w:val="auto"/>
        </w:rPr>
        <w:t xml:space="preserve"> switch In humans, the CTLA-4 protein is encoded by the CTLA-4 gene</w:t>
      </w:r>
      <w:r w:rsidR="003C4E6A" w:rsidRPr="002906BC">
        <w:rPr>
          <w:rFonts w:asciiTheme="majorBidi" w:hAnsiTheme="majorBidi" w:cstheme="majorBidi"/>
          <w:color w:val="auto"/>
        </w:rPr>
        <w:t xml:space="preserve"> (</w:t>
      </w:r>
      <w:r w:rsidR="003C4E6A" w:rsidRPr="002906BC">
        <w:rPr>
          <w:rFonts w:asciiTheme="majorBidi" w:hAnsiTheme="majorBidi" w:cstheme="majorBidi"/>
          <w:lang w:bidi="ar-IQ"/>
        </w:rPr>
        <w:t>Kristiansen</w:t>
      </w:r>
      <w:r w:rsidR="003C4E6A" w:rsidRPr="002906BC">
        <w:rPr>
          <w:rFonts w:asciiTheme="majorBidi" w:hAnsiTheme="majorBidi" w:cstheme="majorBidi"/>
          <w:color w:val="auto"/>
        </w:rPr>
        <w:t xml:space="preserve"> et al., 2000)</w:t>
      </w:r>
      <w:r w:rsidRPr="002906BC">
        <w:rPr>
          <w:rFonts w:asciiTheme="majorBidi" w:hAnsiTheme="majorBidi" w:cstheme="majorBidi"/>
          <w:color w:val="auto"/>
        </w:rPr>
        <w:t xml:space="preserve">. </w:t>
      </w:r>
    </w:p>
    <w:p w:rsidR="008E7DE6" w:rsidRPr="002906BC" w:rsidRDefault="008E7DE6" w:rsidP="00716DE7">
      <w:pPr>
        <w:bidi w:val="0"/>
        <w:jc w:val="both"/>
        <w:rPr>
          <w:rFonts w:asciiTheme="majorBidi" w:hAnsiTheme="majorBidi" w:cstheme="majorBidi"/>
          <w:sz w:val="24"/>
          <w:szCs w:val="24"/>
        </w:rPr>
      </w:pPr>
      <w:r w:rsidRPr="002906BC">
        <w:rPr>
          <w:rFonts w:asciiTheme="majorBidi" w:hAnsiTheme="majorBidi" w:cstheme="majorBidi"/>
          <w:sz w:val="24"/>
          <w:szCs w:val="24"/>
        </w:rPr>
        <w:t>Pro-inflammatory and anti-inflammatory cytokines are involved in the pathogenesis of autoimmune diseases, and an imbalance of Th1/Th2 cytokines is postulated in autoimmune them.3</w:t>
      </w:r>
      <w:proofErr w:type="gramStart"/>
      <w:r w:rsidRPr="002906BC">
        <w:rPr>
          <w:rFonts w:asciiTheme="majorBidi" w:hAnsiTheme="majorBidi" w:cstheme="majorBidi"/>
          <w:sz w:val="24"/>
          <w:szCs w:val="24"/>
        </w:rPr>
        <w:t>,4</w:t>
      </w:r>
      <w:proofErr w:type="gramEnd"/>
      <w:r w:rsidRPr="002906BC">
        <w:rPr>
          <w:rFonts w:asciiTheme="majorBidi" w:hAnsiTheme="majorBidi" w:cstheme="majorBidi"/>
          <w:sz w:val="24"/>
          <w:szCs w:val="24"/>
        </w:rPr>
        <w:t xml:space="preserve"> Interferon (IFN)- is a multifunctional Th1 cytokine produced by helper T cells and natural killer cells, and acts as a key regulator of the immune system by enhancing activation of the pro-inflammatory nuclear transcription factor-</w:t>
      </w:r>
      <w:proofErr w:type="spellStart"/>
      <w:r w:rsidRPr="002906BC">
        <w:rPr>
          <w:rFonts w:asciiTheme="majorBidi" w:hAnsiTheme="majorBidi" w:cstheme="majorBidi"/>
          <w:sz w:val="24"/>
          <w:szCs w:val="24"/>
        </w:rPr>
        <w:t>kB</w:t>
      </w:r>
      <w:proofErr w:type="spellEnd"/>
      <w:r w:rsidRPr="002906BC">
        <w:rPr>
          <w:rFonts w:asciiTheme="majorBidi" w:hAnsiTheme="majorBidi" w:cstheme="majorBidi"/>
          <w:sz w:val="24"/>
          <w:szCs w:val="24"/>
        </w:rPr>
        <w:t xml:space="preserve"> (NF-</w:t>
      </w:r>
      <w:proofErr w:type="spellStart"/>
      <w:r w:rsidRPr="002906BC">
        <w:rPr>
          <w:rFonts w:asciiTheme="majorBidi" w:hAnsiTheme="majorBidi" w:cstheme="majorBidi"/>
          <w:sz w:val="24"/>
          <w:szCs w:val="24"/>
        </w:rPr>
        <w:t>kB</w:t>
      </w:r>
      <w:proofErr w:type="spellEnd"/>
      <w:r w:rsidRPr="002906BC">
        <w:rPr>
          <w:rFonts w:asciiTheme="majorBidi" w:hAnsiTheme="majorBidi" w:cstheme="majorBidi"/>
          <w:sz w:val="24"/>
          <w:szCs w:val="24"/>
        </w:rPr>
        <w:t>)</w:t>
      </w:r>
      <w:r w:rsidR="00716DE7" w:rsidRPr="002906BC">
        <w:rPr>
          <w:rFonts w:asciiTheme="majorBidi" w:hAnsiTheme="majorBidi" w:cstheme="majorBidi"/>
          <w:sz w:val="24"/>
          <w:szCs w:val="24"/>
        </w:rPr>
        <w:t xml:space="preserve"> (</w:t>
      </w:r>
      <w:proofErr w:type="spellStart"/>
      <w:r w:rsidR="00716DE7" w:rsidRPr="002906BC">
        <w:rPr>
          <w:rFonts w:asciiTheme="majorBidi" w:hAnsiTheme="majorBidi" w:cstheme="majorBidi"/>
          <w:sz w:val="24"/>
          <w:szCs w:val="24"/>
          <w:lang w:bidi="ar-IQ"/>
        </w:rPr>
        <w:t>Chatzigeorgiou</w:t>
      </w:r>
      <w:proofErr w:type="spellEnd"/>
      <w:r w:rsidR="00716DE7" w:rsidRPr="002906BC">
        <w:rPr>
          <w:rFonts w:asciiTheme="majorBidi" w:hAnsiTheme="majorBidi" w:cstheme="majorBidi"/>
          <w:sz w:val="24"/>
          <w:szCs w:val="24"/>
        </w:rPr>
        <w:t xml:space="preserve"> et al., 2010).</w:t>
      </w:r>
      <w:r w:rsidRPr="002906BC">
        <w:rPr>
          <w:rFonts w:asciiTheme="majorBidi" w:hAnsiTheme="majorBidi" w:cstheme="majorBidi"/>
          <w:sz w:val="24"/>
          <w:szCs w:val="24"/>
        </w:rPr>
        <w:t xml:space="preserve"> </w:t>
      </w:r>
    </w:p>
    <w:p w:rsidR="002A0905" w:rsidRPr="002906BC" w:rsidRDefault="008E7DE6" w:rsidP="00C40335">
      <w:pPr>
        <w:pStyle w:val="Default"/>
        <w:spacing w:line="276" w:lineRule="auto"/>
        <w:jc w:val="both"/>
        <w:rPr>
          <w:rFonts w:asciiTheme="majorBidi" w:hAnsiTheme="majorBidi" w:cstheme="majorBidi"/>
        </w:rPr>
      </w:pPr>
      <w:r w:rsidRPr="002906BC">
        <w:rPr>
          <w:rFonts w:asciiTheme="majorBidi" w:hAnsiTheme="majorBidi" w:cstheme="majorBidi"/>
        </w:rPr>
        <w:t xml:space="preserve">     </w:t>
      </w:r>
      <w:r w:rsidR="00741A80" w:rsidRPr="002906BC">
        <w:rPr>
          <w:rFonts w:asciiTheme="majorBidi" w:hAnsiTheme="majorBidi" w:cstheme="majorBidi"/>
        </w:rPr>
        <w:t>Many studies have shown that the CTLA-4 gene has an effect on how its product works, which can change the pathogenic pathways of autoimmune diseases</w:t>
      </w:r>
      <w:r w:rsidR="00607334" w:rsidRPr="002906BC">
        <w:rPr>
          <w:rFonts w:asciiTheme="majorBidi" w:hAnsiTheme="majorBidi" w:cstheme="majorBidi"/>
        </w:rPr>
        <w:t xml:space="preserve">, </w:t>
      </w:r>
      <w:r w:rsidR="00F01552" w:rsidRPr="002906BC">
        <w:rPr>
          <w:rFonts w:asciiTheme="majorBidi" w:hAnsiTheme="majorBidi" w:cstheme="majorBidi"/>
          <w:lang w:bidi="ar-IQ"/>
        </w:rPr>
        <w:t xml:space="preserve">CTLA-4 stands for cytotoxic T lymphocyte-associated antigen-4, a cell surface protein that sets a precedent to T-cell activation. CTLA-4 gene polymorphisms have been researched extensively in relation to genetic vulnerability to autoimmune disorders, although </w:t>
      </w:r>
      <w:r w:rsidR="00F01552" w:rsidRPr="002906BC">
        <w:rPr>
          <w:rFonts w:asciiTheme="majorBidi" w:hAnsiTheme="majorBidi" w:cstheme="majorBidi"/>
          <w:lang w:bidi="ar-IQ"/>
        </w:rPr>
        <w:lastRenderedPageBreak/>
        <w:t>results have been mixed in different groups</w:t>
      </w:r>
      <w:r w:rsidR="00C40335" w:rsidRPr="002906BC">
        <w:rPr>
          <w:rFonts w:asciiTheme="majorBidi" w:hAnsiTheme="majorBidi" w:cstheme="majorBidi"/>
          <w:lang w:bidi="ar-IQ"/>
        </w:rPr>
        <w:t xml:space="preserve"> (</w:t>
      </w:r>
      <w:proofErr w:type="spellStart"/>
      <w:r w:rsidR="00C40335" w:rsidRPr="002906BC">
        <w:rPr>
          <w:rFonts w:asciiTheme="majorBidi" w:hAnsiTheme="majorBidi" w:cstheme="majorBidi"/>
          <w:lang w:bidi="ar-IQ"/>
        </w:rPr>
        <w:t>Kavvoura</w:t>
      </w:r>
      <w:proofErr w:type="spellEnd"/>
      <w:r w:rsidR="00C40335" w:rsidRPr="002906BC">
        <w:rPr>
          <w:rFonts w:asciiTheme="majorBidi" w:hAnsiTheme="majorBidi" w:cstheme="majorBidi"/>
          <w:lang w:bidi="ar-IQ"/>
        </w:rPr>
        <w:t>, &amp; Ioannidis, (2005).</w:t>
      </w:r>
      <w:r w:rsidR="00F01552" w:rsidRPr="002906BC">
        <w:rPr>
          <w:rFonts w:asciiTheme="majorBidi" w:hAnsiTheme="majorBidi" w:cstheme="majorBidi"/>
          <w:lang w:bidi="ar-IQ"/>
        </w:rPr>
        <w:t xml:space="preserve"> </w:t>
      </w:r>
      <w:r w:rsidR="002A0905" w:rsidRPr="002906BC">
        <w:rPr>
          <w:rFonts w:asciiTheme="majorBidi" w:hAnsiTheme="majorBidi" w:cstheme="majorBidi"/>
        </w:rPr>
        <w:t xml:space="preserve">The aim of our study was to investigate the frequency of CTLA-4 49A/G polymorphism in Iraqi children, and its susceptibility for development of T1D. </w:t>
      </w:r>
    </w:p>
    <w:p w:rsidR="00DD25A7" w:rsidRPr="002906BC" w:rsidRDefault="00DD25A7" w:rsidP="00275B2E">
      <w:pPr>
        <w:bidi w:val="0"/>
        <w:jc w:val="both"/>
        <w:rPr>
          <w:rFonts w:asciiTheme="majorBidi" w:hAnsiTheme="majorBidi" w:cstheme="majorBidi"/>
          <w:sz w:val="24"/>
          <w:szCs w:val="24"/>
          <w:lang w:bidi="ar-IQ"/>
        </w:rPr>
      </w:pPr>
    </w:p>
    <w:p w:rsidR="00DD25A7" w:rsidRPr="002906BC" w:rsidRDefault="00DD25A7" w:rsidP="00275B2E">
      <w:pPr>
        <w:bidi w:val="0"/>
        <w:jc w:val="both"/>
        <w:rPr>
          <w:rFonts w:asciiTheme="majorBidi" w:hAnsiTheme="majorBidi" w:cstheme="majorBidi"/>
          <w:b/>
          <w:bCs/>
          <w:sz w:val="24"/>
          <w:szCs w:val="24"/>
          <w:lang w:bidi="ar-IQ"/>
        </w:rPr>
      </w:pPr>
      <w:r w:rsidRPr="002906BC">
        <w:rPr>
          <w:rFonts w:asciiTheme="majorBidi" w:hAnsiTheme="majorBidi" w:cstheme="majorBidi"/>
          <w:b/>
          <w:bCs/>
          <w:sz w:val="24"/>
          <w:szCs w:val="24"/>
          <w:lang w:bidi="ar-IQ"/>
        </w:rPr>
        <w:t xml:space="preserve">Materials and Methods </w:t>
      </w:r>
    </w:p>
    <w:p w:rsidR="00DD25A7" w:rsidRPr="002906BC" w:rsidRDefault="00DD25A7" w:rsidP="00275B2E">
      <w:pPr>
        <w:bidi w:val="0"/>
        <w:jc w:val="both"/>
        <w:rPr>
          <w:rFonts w:asciiTheme="majorBidi" w:hAnsiTheme="majorBidi" w:cstheme="majorBidi"/>
          <w:b/>
          <w:bCs/>
          <w:sz w:val="24"/>
          <w:szCs w:val="24"/>
          <w:lang w:bidi="ar-IQ"/>
        </w:rPr>
      </w:pPr>
      <w:r w:rsidRPr="002906BC">
        <w:rPr>
          <w:rFonts w:asciiTheme="majorBidi" w:hAnsiTheme="majorBidi" w:cstheme="majorBidi"/>
          <w:sz w:val="24"/>
          <w:szCs w:val="24"/>
          <w:lang w:bidi="ar-IQ"/>
        </w:rPr>
        <w:t xml:space="preserve">  </w:t>
      </w:r>
      <w:r w:rsidRPr="002906BC">
        <w:rPr>
          <w:rFonts w:asciiTheme="majorBidi" w:hAnsiTheme="majorBidi" w:cstheme="majorBidi"/>
          <w:b/>
          <w:bCs/>
          <w:sz w:val="24"/>
          <w:szCs w:val="24"/>
          <w:lang w:bidi="ar-IQ"/>
        </w:rPr>
        <w:t xml:space="preserve">Study groups: </w:t>
      </w:r>
    </w:p>
    <w:p w:rsidR="00DD25A7" w:rsidRPr="002906BC" w:rsidRDefault="00DD25A7"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This study was tested on 60 children with diabetes World Health Organization used the endocrine hospital and Al-</w:t>
      </w:r>
      <w:proofErr w:type="spellStart"/>
      <w:r w:rsidRPr="002906BC">
        <w:rPr>
          <w:rFonts w:asciiTheme="majorBidi" w:hAnsiTheme="majorBidi" w:cstheme="majorBidi"/>
          <w:sz w:val="24"/>
          <w:szCs w:val="24"/>
          <w:lang w:bidi="ar-IQ"/>
        </w:rPr>
        <w:t>Qadsiya</w:t>
      </w:r>
      <w:proofErr w:type="spellEnd"/>
      <w:r w:rsidRPr="002906BC">
        <w:rPr>
          <w:rFonts w:asciiTheme="majorBidi" w:hAnsiTheme="majorBidi" w:cstheme="majorBidi"/>
          <w:sz w:val="24"/>
          <w:szCs w:val="24"/>
          <w:lang w:bidi="ar-IQ"/>
        </w:rPr>
        <w:t xml:space="preserve"> clinic from January 2021 to July 2021. Their ages ranged from one to sixteen years old. Patients included 30 boys and 30 girls</w:t>
      </w:r>
      <w:r w:rsidR="00586289" w:rsidRPr="002906BC">
        <w:rPr>
          <w:rFonts w:asciiTheme="majorBidi" w:hAnsiTheme="majorBidi" w:cstheme="majorBidi"/>
          <w:sz w:val="24"/>
          <w:szCs w:val="24"/>
          <w:lang w:bidi="ar-IQ"/>
        </w:rPr>
        <w:t xml:space="preserve"> (age range 5-7 years)</w:t>
      </w:r>
      <w:r w:rsidRPr="002906BC">
        <w:rPr>
          <w:rFonts w:asciiTheme="majorBidi" w:hAnsiTheme="majorBidi" w:cstheme="majorBidi"/>
          <w:sz w:val="24"/>
          <w:szCs w:val="24"/>
          <w:lang w:bidi="ar-IQ"/>
        </w:rPr>
        <w:t xml:space="preserve">. The control group consisted of 40 healthy and disease-free children (Twenty boys and Twenty girls; age range </w:t>
      </w:r>
      <w:r w:rsidR="00586289" w:rsidRPr="002906BC">
        <w:rPr>
          <w:rFonts w:asciiTheme="majorBidi" w:hAnsiTheme="majorBidi" w:cstheme="majorBidi"/>
          <w:sz w:val="24"/>
          <w:szCs w:val="24"/>
          <w:lang w:bidi="ar-IQ"/>
        </w:rPr>
        <w:t>5-7</w:t>
      </w:r>
      <w:r w:rsidRPr="002906BC">
        <w:rPr>
          <w:rFonts w:asciiTheme="majorBidi" w:hAnsiTheme="majorBidi" w:cstheme="majorBidi"/>
          <w:sz w:val="24"/>
          <w:szCs w:val="24"/>
          <w:lang w:bidi="ar-IQ"/>
        </w:rPr>
        <w:t xml:space="preserve"> years) World Health Organization were age- and sex-matched with diabetics. </w:t>
      </w:r>
    </w:p>
    <w:p w:rsidR="00DD25A7" w:rsidRPr="002906BC" w:rsidRDefault="00DD25A7" w:rsidP="00275B2E">
      <w:pPr>
        <w:bidi w:val="0"/>
        <w:jc w:val="both"/>
        <w:rPr>
          <w:rFonts w:asciiTheme="majorBidi" w:hAnsiTheme="majorBidi" w:cstheme="majorBidi"/>
          <w:b/>
          <w:bCs/>
          <w:sz w:val="24"/>
          <w:szCs w:val="24"/>
          <w:lang w:bidi="ar-IQ"/>
        </w:rPr>
      </w:pPr>
      <w:r w:rsidRPr="002906BC">
        <w:rPr>
          <w:rFonts w:asciiTheme="majorBidi" w:hAnsiTheme="majorBidi" w:cstheme="majorBidi"/>
          <w:b/>
          <w:bCs/>
          <w:sz w:val="24"/>
          <w:szCs w:val="24"/>
          <w:lang w:bidi="ar-IQ"/>
        </w:rPr>
        <w:t xml:space="preserve">The diagnostic &amp; Principles criteria  </w:t>
      </w:r>
    </w:p>
    <w:p w:rsidR="00DD25A7" w:rsidRPr="002906BC" w:rsidRDefault="00DD25A7"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The basic criteria for the basic needs of children with diabetes are as follows:</w:t>
      </w:r>
    </w:p>
    <w:p w:rsidR="00DD25A7" w:rsidRPr="002906BC" w:rsidRDefault="00DD25A7"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(1) Fasting blood glucose with a minimum of 7.0 </w:t>
      </w:r>
      <w:proofErr w:type="spellStart"/>
      <w:r w:rsidRPr="002906BC">
        <w:rPr>
          <w:rFonts w:asciiTheme="majorBidi" w:hAnsiTheme="majorBidi" w:cstheme="majorBidi"/>
          <w:sz w:val="24"/>
          <w:szCs w:val="24"/>
          <w:lang w:bidi="ar-IQ"/>
        </w:rPr>
        <w:t>m.mol</w:t>
      </w:r>
      <w:proofErr w:type="spellEnd"/>
      <w:r w:rsidRPr="002906BC">
        <w:rPr>
          <w:rFonts w:asciiTheme="majorBidi" w:hAnsiTheme="majorBidi" w:cstheme="majorBidi"/>
          <w:sz w:val="24"/>
          <w:szCs w:val="24"/>
          <w:lang w:bidi="ar-IQ"/>
        </w:rPr>
        <w:t xml:space="preserve"> / L (6126 </w:t>
      </w:r>
      <w:proofErr w:type="spellStart"/>
      <w:r w:rsidRPr="002906BC">
        <w:rPr>
          <w:rFonts w:asciiTheme="majorBidi" w:hAnsiTheme="majorBidi" w:cstheme="majorBidi"/>
          <w:sz w:val="24"/>
          <w:szCs w:val="24"/>
          <w:lang w:bidi="ar-IQ"/>
        </w:rPr>
        <w:t>m.g</w:t>
      </w:r>
      <w:proofErr w:type="spellEnd"/>
      <w:r w:rsidRPr="002906BC">
        <w:rPr>
          <w:rFonts w:asciiTheme="majorBidi" w:hAnsiTheme="majorBidi" w:cstheme="majorBidi"/>
          <w:sz w:val="24"/>
          <w:szCs w:val="24"/>
          <w:lang w:bidi="ar-IQ"/>
        </w:rPr>
        <w:t xml:space="preserve"> / </w:t>
      </w:r>
      <w:proofErr w:type="spellStart"/>
      <w:r w:rsidRPr="002906BC">
        <w:rPr>
          <w:rFonts w:asciiTheme="majorBidi" w:hAnsiTheme="majorBidi" w:cstheme="majorBidi"/>
          <w:sz w:val="24"/>
          <w:szCs w:val="24"/>
          <w:lang w:bidi="ar-IQ"/>
        </w:rPr>
        <w:t>dL</w:t>
      </w:r>
      <w:proofErr w:type="spellEnd"/>
      <w:r w:rsidRPr="002906BC">
        <w:rPr>
          <w:rFonts w:asciiTheme="majorBidi" w:hAnsiTheme="majorBidi" w:cstheme="majorBidi"/>
          <w:sz w:val="24"/>
          <w:szCs w:val="24"/>
          <w:lang w:bidi="ar-IQ"/>
        </w:rPr>
        <w:t>).</w:t>
      </w:r>
    </w:p>
    <w:p w:rsidR="00DD25A7" w:rsidRPr="002906BC" w:rsidRDefault="00DD25A7"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(2) Glucose 2 H after a meal at least 11.1 </w:t>
      </w:r>
      <w:proofErr w:type="spellStart"/>
      <w:r w:rsidRPr="002906BC">
        <w:rPr>
          <w:rFonts w:asciiTheme="majorBidi" w:hAnsiTheme="majorBidi" w:cstheme="majorBidi"/>
          <w:sz w:val="24"/>
          <w:szCs w:val="24"/>
          <w:lang w:bidi="ar-IQ"/>
        </w:rPr>
        <w:t>m.mol</w:t>
      </w:r>
      <w:proofErr w:type="spellEnd"/>
      <w:r w:rsidRPr="002906BC">
        <w:rPr>
          <w:rFonts w:asciiTheme="majorBidi" w:hAnsiTheme="majorBidi" w:cstheme="majorBidi"/>
          <w:sz w:val="24"/>
          <w:szCs w:val="24"/>
          <w:lang w:bidi="ar-IQ"/>
        </w:rPr>
        <w:t xml:space="preserve"> / L (200 </w:t>
      </w:r>
      <w:proofErr w:type="spellStart"/>
      <w:r w:rsidRPr="002906BC">
        <w:rPr>
          <w:rFonts w:asciiTheme="majorBidi" w:hAnsiTheme="majorBidi" w:cstheme="majorBidi"/>
          <w:sz w:val="24"/>
          <w:szCs w:val="24"/>
          <w:lang w:bidi="ar-IQ"/>
        </w:rPr>
        <w:t>m.g</w:t>
      </w:r>
      <w:proofErr w:type="spellEnd"/>
      <w:r w:rsidRPr="002906BC">
        <w:rPr>
          <w:rFonts w:asciiTheme="majorBidi" w:hAnsiTheme="majorBidi" w:cstheme="majorBidi"/>
          <w:sz w:val="24"/>
          <w:szCs w:val="24"/>
          <w:lang w:bidi="ar-IQ"/>
        </w:rPr>
        <w:t xml:space="preserve"> / </w:t>
      </w:r>
      <w:proofErr w:type="spellStart"/>
      <w:r w:rsidRPr="002906BC">
        <w:rPr>
          <w:rFonts w:asciiTheme="majorBidi" w:hAnsiTheme="majorBidi" w:cstheme="majorBidi"/>
          <w:sz w:val="24"/>
          <w:szCs w:val="24"/>
          <w:lang w:bidi="ar-IQ"/>
        </w:rPr>
        <w:t>dL</w:t>
      </w:r>
      <w:proofErr w:type="spellEnd"/>
      <w:r w:rsidRPr="002906BC">
        <w:rPr>
          <w:rFonts w:asciiTheme="majorBidi" w:hAnsiTheme="majorBidi" w:cstheme="majorBidi"/>
          <w:sz w:val="24"/>
          <w:szCs w:val="24"/>
          <w:lang w:bidi="ar-IQ"/>
        </w:rPr>
        <w:t>).</w:t>
      </w:r>
    </w:p>
    <w:p w:rsidR="00DD25A7" w:rsidRPr="002906BC" w:rsidRDefault="00DD25A7"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(3) Glycosylated hemoglobin (HbA1c) at least 6.5.</w:t>
      </w:r>
    </w:p>
    <w:p w:rsidR="00A628EA" w:rsidRPr="002906BC" w:rsidRDefault="00A628EA"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(4) </w:t>
      </w:r>
      <w:proofErr w:type="gramStart"/>
      <w:r w:rsidRPr="002906BC">
        <w:rPr>
          <w:rFonts w:asciiTheme="majorBidi" w:hAnsiTheme="majorBidi" w:cstheme="majorBidi"/>
          <w:sz w:val="24"/>
          <w:szCs w:val="24"/>
          <w:lang w:bidi="ar-IQ"/>
        </w:rPr>
        <w:t>not</w:t>
      </w:r>
      <w:proofErr w:type="gramEnd"/>
      <w:r w:rsidRPr="002906BC">
        <w:rPr>
          <w:rFonts w:asciiTheme="majorBidi" w:hAnsiTheme="majorBidi" w:cstheme="majorBidi"/>
          <w:sz w:val="24"/>
          <w:szCs w:val="24"/>
          <w:lang w:bidi="ar-IQ"/>
        </w:rPr>
        <w:t xml:space="preserve"> taken insulin injection  </w:t>
      </w:r>
    </w:p>
    <w:p w:rsidR="00DD25A7" w:rsidRPr="002906BC" w:rsidRDefault="00DD25A7"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Patients were divided according to HbA1c level (control &lt;8 and poor control ≥ 8).</w:t>
      </w:r>
    </w:p>
    <w:p w:rsidR="00DD25A7" w:rsidRPr="002906BC" w:rsidRDefault="00DD25A7" w:rsidP="00275B2E">
      <w:pPr>
        <w:bidi w:val="0"/>
        <w:jc w:val="both"/>
        <w:rPr>
          <w:rFonts w:asciiTheme="majorBidi" w:hAnsiTheme="majorBidi" w:cstheme="majorBidi"/>
          <w:b/>
          <w:bCs/>
          <w:sz w:val="24"/>
          <w:szCs w:val="24"/>
          <w:lang w:bidi="ar-IQ"/>
        </w:rPr>
      </w:pPr>
      <w:r w:rsidRPr="002906BC">
        <w:rPr>
          <w:rFonts w:asciiTheme="majorBidi" w:hAnsiTheme="majorBidi" w:cstheme="majorBidi"/>
          <w:b/>
          <w:bCs/>
          <w:sz w:val="24"/>
          <w:szCs w:val="24"/>
          <w:lang w:bidi="ar-IQ"/>
        </w:rPr>
        <w:t>The informed consent:</w:t>
      </w:r>
    </w:p>
    <w:p w:rsidR="00DD25A7" w:rsidRPr="002906BC" w:rsidRDefault="00DD25A7"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All sick and affected children and the control group, after obtaining informed consent from their families, underwent the following</w:t>
      </w:r>
    </w:p>
    <w:p w:rsidR="00DD25A7" w:rsidRPr="002906BC" w:rsidRDefault="00DD25A7"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(1) Detailed history evaluation.</w:t>
      </w:r>
    </w:p>
    <w:p w:rsidR="00DD25A7" w:rsidRPr="002906BC" w:rsidRDefault="00DD25A7"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(2) Complete general examination including anthropometric measurements.</w:t>
      </w:r>
    </w:p>
    <w:p w:rsidR="00DD25A7" w:rsidRPr="002906BC" w:rsidRDefault="00DD25A7" w:rsidP="00275B2E">
      <w:pPr>
        <w:bidi w:val="0"/>
        <w:jc w:val="both"/>
        <w:rPr>
          <w:rFonts w:asciiTheme="majorBidi" w:hAnsiTheme="majorBidi" w:cstheme="majorBidi"/>
          <w:b/>
          <w:bCs/>
          <w:sz w:val="24"/>
          <w:szCs w:val="24"/>
          <w:lang w:bidi="ar-IQ"/>
        </w:rPr>
      </w:pPr>
      <w:r w:rsidRPr="002906BC">
        <w:rPr>
          <w:rFonts w:asciiTheme="majorBidi" w:hAnsiTheme="majorBidi" w:cstheme="majorBidi"/>
          <w:b/>
          <w:bCs/>
          <w:sz w:val="24"/>
          <w:szCs w:val="24"/>
          <w:lang w:bidi="ar-IQ"/>
        </w:rPr>
        <w:t>Laboratory investigations including:</w:t>
      </w:r>
    </w:p>
    <w:p w:rsidR="00DD25A7" w:rsidRPr="002906BC" w:rsidRDefault="00DD25A7"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Estimation of fasting Glucose Pertaining Blood levels. Estimation of postprandial Glucose Pertaining Blood levels. Estimation of HbA1c.and Evaluation of thyroid functions by determining FT3, FT4, and TSH.</w:t>
      </w:r>
    </w:p>
    <w:p w:rsidR="00DD25A7" w:rsidRPr="002906BC" w:rsidRDefault="00DD25A7" w:rsidP="00275B2E">
      <w:pPr>
        <w:bidi w:val="0"/>
        <w:jc w:val="both"/>
        <w:rPr>
          <w:rFonts w:asciiTheme="majorBidi" w:hAnsiTheme="majorBidi" w:cstheme="majorBidi"/>
          <w:b/>
          <w:bCs/>
          <w:sz w:val="24"/>
          <w:szCs w:val="24"/>
          <w:lang w:bidi="ar-IQ"/>
        </w:rPr>
      </w:pPr>
      <w:r w:rsidRPr="002906BC">
        <w:rPr>
          <w:rFonts w:asciiTheme="majorBidi" w:hAnsiTheme="majorBidi" w:cstheme="majorBidi"/>
          <w:b/>
          <w:bCs/>
          <w:sz w:val="24"/>
          <w:szCs w:val="24"/>
          <w:lang w:bidi="ar-IQ"/>
        </w:rPr>
        <w:t>Extraction, Purity and integrity of Total DNA</w:t>
      </w:r>
    </w:p>
    <w:p w:rsidR="00865DD9" w:rsidRPr="002906BC" w:rsidRDefault="00DD25A7"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Extraction of the total DNA from blood samples using Wizard® Plus SV </w:t>
      </w:r>
      <w:proofErr w:type="spellStart"/>
      <w:r w:rsidRPr="002906BC">
        <w:rPr>
          <w:rFonts w:asciiTheme="majorBidi" w:hAnsiTheme="majorBidi" w:cstheme="majorBidi"/>
          <w:sz w:val="24"/>
          <w:szCs w:val="24"/>
          <w:lang w:bidi="ar-IQ"/>
        </w:rPr>
        <w:t>Minipreps</w:t>
      </w:r>
      <w:proofErr w:type="spellEnd"/>
      <w:r w:rsidRPr="002906BC">
        <w:rPr>
          <w:rFonts w:asciiTheme="majorBidi" w:hAnsiTheme="majorBidi" w:cstheme="majorBidi"/>
          <w:sz w:val="24"/>
          <w:szCs w:val="24"/>
          <w:lang w:bidi="ar-IQ"/>
        </w:rPr>
        <w:t xml:space="preserve"> DNA Purification Systems (</w:t>
      </w:r>
      <w:proofErr w:type="spellStart"/>
      <w:r w:rsidRPr="002906BC">
        <w:rPr>
          <w:rFonts w:asciiTheme="majorBidi" w:hAnsiTheme="majorBidi" w:cstheme="majorBidi"/>
          <w:sz w:val="24"/>
          <w:szCs w:val="24"/>
          <w:lang w:bidi="ar-IQ"/>
        </w:rPr>
        <w:t>Promega</w:t>
      </w:r>
      <w:proofErr w:type="spellEnd"/>
      <w:r w:rsidRPr="002906BC">
        <w:rPr>
          <w:rFonts w:asciiTheme="majorBidi" w:hAnsiTheme="majorBidi" w:cstheme="majorBidi"/>
          <w:sz w:val="24"/>
          <w:szCs w:val="24"/>
          <w:lang w:bidi="ar-IQ"/>
        </w:rPr>
        <w:t xml:space="preserve">/USA), and assessment of the integrity of the DNA samples will determine by gel electrophoresis, and its purity determines by </w:t>
      </w:r>
      <w:r w:rsidRPr="002906BC">
        <w:rPr>
          <w:rFonts w:asciiTheme="majorBidi" w:hAnsiTheme="majorBidi" w:cstheme="majorBidi"/>
          <w:sz w:val="24"/>
          <w:szCs w:val="24"/>
          <w:lang w:bidi="ar-IQ"/>
        </w:rPr>
        <w:lastRenderedPageBreak/>
        <w:t>Nano drop spectrophotometer in a ratio of ~2.0 is generally accepted as “pure” for DNA.</w:t>
      </w:r>
    </w:p>
    <w:p w:rsidR="00865DD9" w:rsidRPr="002906BC" w:rsidRDefault="00865DD9" w:rsidP="00275B2E">
      <w:pPr>
        <w:bidi w:val="0"/>
        <w:jc w:val="both"/>
        <w:rPr>
          <w:rFonts w:asciiTheme="majorBidi" w:hAnsiTheme="majorBidi" w:cstheme="majorBidi"/>
          <w:b/>
          <w:bCs/>
          <w:sz w:val="24"/>
          <w:szCs w:val="24"/>
        </w:rPr>
      </w:pPr>
      <w:r w:rsidRPr="002906BC">
        <w:rPr>
          <w:rFonts w:asciiTheme="majorBidi" w:hAnsiTheme="majorBidi" w:cstheme="majorBidi"/>
          <w:b/>
          <w:bCs/>
          <w:sz w:val="24"/>
          <w:szCs w:val="24"/>
        </w:rPr>
        <w:t xml:space="preserve">Polymerase Chain reaction </w:t>
      </w:r>
      <w:proofErr w:type="gramStart"/>
      <w:r w:rsidRPr="002906BC">
        <w:rPr>
          <w:rFonts w:asciiTheme="majorBidi" w:hAnsiTheme="majorBidi" w:cstheme="majorBidi"/>
          <w:b/>
          <w:bCs/>
          <w:sz w:val="24"/>
          <w:szCs w:val="24"/>
        </w:rPr>
        <w:t>( PCR</w:t>
      </w:r>
      <w:proofErr w:type="gramEnd"/>
      <w:r w:rsidRPr="002906BC">
        <w:rPr>
          <w:rFonts w:asciiTheme="majorBidi" w:hAnsiTheme="majorBidi" w:cstheme="majorBidi"/>
          <w:b/>
          <w:bCs/>
          <w:sz w:val="24"/>
          <w:szCs w:val="24"/>
        </w:rPr>
        <w:t xml:space="preserve">) </w:t>
      </w:r>
    </w:p>
    <w:p w:rsidR="00865DD9" w:rsidRPr="002906BC" w:rsidRDefault="00741A80" w:rsidP="00275B2E">
      <w:pPr>
        <w:bidi w:val="0"/>
        <w:jc w:val="both"/>
        <w:rPr>
          <w:rFonts w:asciiTheme="majorBidi" w:hAnsiTheme="majorBidi" w:cstheme="majorBidi"/>
          <w:sz w:val="24"/>
          <w:szCs w:val="24"/>
        </w:rPr>
      </w:pPr>
      <w:r w:rsidRPr="002906BC">
        <w:rPr>
          <w:rFonts w:asciiTheme="majorBidi" w:hAnsiTheme="majorBidi" w:cstheme="majorBidi"/>
          <w:sz w:val="24"/>
          <w:szCs w:val="24"/>
        </w:rPr>
        <w:t xml:space="preserve">     </w:t>
      </w:r>
      <w:r w:rsidR="00865DD9" w:rsidRPr="002906BC">
        <w:rPr>
          <w:rFonts w:asciiTheme="majorBidi" w:hAnsiTheme="majorBidi" w:cstheme="majorBidi"/>
          <w:sz w:val="24"/>
          <w:szCs w:val="24"/>
        </w:rPr>
        <w:t xml:space="preserve">Primer Preparation </w:t>
      </w:r>
      <w:proofErr w:type="spellStart"/>
      <w:r w:rsidR="00865DD9" w:rsidRPr="002906BC">
        <w:rPr>
          <w:rFonts w:asciiTheme="majorBidi" w:hAnsiTheme="majorBidi" w:cstheme="majorBidi"/>
          <w:sz w:val="24"/>
          <w:szCs w:val="24"/>
        </w:rPr>
        <w:t>Amplifcation</w:t>
      </w:r>
      <w:proofErr w:type="spellEnd"/>
      <w:r w:rsidR="00865DD9" w:rsidRPr="002906BC">
        <w:rPr>
          <w:rFonts w:asciiTheme="majorBidi" w:hAnsiTheme="majorBidi" w:cstheme="majorBidi"/>
          <w:sz w:val="24"/>
          <w:szCs w:val="24"/>
        </w:rPr>
        <w:t xml:space="preserve"> refractory mutation system-polymerase chain reaction (ARMS-PCR) method was used to analyze the genotyping of CTLA4 (+49A/G) with the primers given in table</w:t>
      </w:r>
      <w:r w:rsidRPr="002906BC">
        <w:rPr>
          <w:rFonts w:asciiTheme="majorBidi" w:hAnsiTheme="majorBidi" w:cstheme="majorBidi"/>
          <w:sz w:val="24"/>
          <w:szCs w:val="24"/>
        </w:rPr>
        <w:t xml:space="preserve"> </w:t>
      </w:r>
      <w:r w:rsidR="00865DD9" w:rsidRPr="002906BC">
        <w:rPr>
          <w:rFonts w:asciiTheme="majorBidi" w:hAnsiTheme="majorBidi" w:cstheme="majorBidi"/>
          <w:sz w:val="24"/>
          <w:szCs w:val="24"/>
        </w:rPr>
        <w:t xml:space="preserve">(1) </w:t>
      </w:r>
      <w:r w:rsidR="00607334" w:rsidRPr="002906BC">
        <w:rPr>
          <w:rFonts w:asciiTheme="majorBidi" w:hAnsiTheme="majorBidi" w:cstheme="majorBidi"/>
          <w:sz w:val="24"/>
          <w:szCs w:val="24"/>
        </w:rPr>
        <w:t>these primers were originally described by (</w:t>
      </w:r>
      <w:proofErr w:type="spellStart"/>
      <w:r w:rsidRPr="002906BC">
        <w:rPr>
          <w:rFonts w:asciiTheme="majorBidi" w:hAnsiTheme="majorBidi" w:cstheme="majorBidi"/>
          <w:sz w:val="24"/>
          <w:szCs w:val="24"/>
        </w:rPr>
        <w:t>Narooie</w:t>
      </w:r>
      <w:proofErr w:type="spellEnd"/>
      <w:r w:rsidRPr="002906BC">
        <w:rPr>
          <w:rFonts w:asciiTheme="majorBidi" w:eastAsia="MS Mincho" w:hAnsiTheme="majorBidi" w:cstheme="majorBidi"/>
          <w:sz w:val="24"/>
          <w:szCs w:val="24"/>
        </w:rPr>
        <w:t xml:space="preserve"> et al., 2017)</w:t>
      </w:r>
      <w:r w:rsidRPr="002906BC">
        <w:rPr>
          <w:rFonts w:asciiTheme="majorBidi" w:hAnsiTheme="majorBidi" w:cstheme="majorBidi"/>
          <w:sz w:val="24"/>
          <w:szCs w:val="24"/>
        </w:rPr>
        <w:t xml:space="preserve">, </w:t>
      </w:r>
      <w:r w:rsidR="00865DD9" w:rsidRPr="002906BC">
        <w:rPr>
          <w:rFonts w:asciiTheme="majorBidi" w:hAnsiTheme="majorBidi" w:cstheme="majorBidi"/>
          <w:sz w:val="24"/>
          <w:szCs w:val="24"/>
        </w:rPr>
        <w:t xml:space="preserve">the primer was purchased from </w:t>
      </w:r>
      <w:proofErr w:type="spellStart"/>
      <w:r w:rsidR="00865DD9" w:rsidRPr="002906BC">
        <w:rPr>
          <w:rFonts w:asciiTheme="majorBidi" w:hAnsiTheme="majorBidi" w:cstheme="majorBidi"/>
          <w:sz w:val="24"/>
          <w:szCs w:val="24"/>
        </w:rPr>
        <w:t>Bioneer</w:t>
      </w:r>
      <w:proofErr w:type="spellEnd"/>
      <w:r w:rsidR="00865DD9" w:rsidRPr="002906BC">
        <w:rPr>
          <w:rFonts w:asciiTheme="majorBidi" w:hAnsiTheme="majorBidi" w:cstheme="majorBidi"/>
          <w:sz w:val="24"/>
          <w:szCs w:val="24"/>
        </w:rPr>
        <w:t xml:space="preserve">, Korea as lyophilized product of </w:t>
      </w:r>
      <w:r w:rsidRPr="002906BC">
        <w:rPr>
          <w:rFonts w:asciiTheme="majorBidi" w:hAnsiTheme="majorBidi" w:cstheme="majorBidi"/>
          <w:sz w:val="24"/>
          <w:szCs w:val="24"/>
        </w:rPr>
        <w:t>different</w:t>
      </w:r>
      <w:r w:rsidR="00865DD9" w:rsidRPr="002906BC">
        <w:rPr>
          <w:rFonts w:asciiTheme="majorBidi" w:hAnsiTheme="majorBidi" w:cstheme="majorBidi"/>
          <w:sz w:val="24"/>
          <w:szCs w:val="24"/>
        </w:rPr>
        <w:t xml:space="preserve"> </w:t>
      </w:r>
      <w:proofErr w:type="spellStart"/>
      <w:r w:rsidR="00865DD9" w:rsidRPr="002906BC">
        <w:rPr>
          <w:rFonts w:asciiTheme="majorBidi" w:hAnsiTheme="majorBidi" w:cstheme="majorBidi"/>
          <w:sz w:val="24"/>
          <w:szCs w:val="24"/>
        </w:rPr>
        <w:t>picomols</w:t>
      </w:r>
      <w:proofErr w:type="spellEnd"/>
      <w:r w:rsidR="00865DD9" w:rsidRPr="002906BC">
        <w:rPr>
          <w:rFonts w:asciiTheme="majorBidi" w:hAnsiTheme="majorBidi" w:cstheme="majorBidi"/>
          <w:sz w:val="24"/>
          <w:szCs w:val="24"/>
        </w:rPr>
        <w:t xml:space="preserve"> concentrations, were dissolved in specific volumes of nuclease free water to </w:t>
      </w:r>
      <w:r w:rsidRPr="002906BC">
        <w:rPr>
          <w:rFonts w:asciiTheme="majorBidi" w:hAnsiTheme="majorBidi" w:cstheme="majorBidi"/>
          <w:sz w:val="24"/>
          <w:szCs w:val="24"/>
        </w:rPr>
        <w:t>obtain</w:t>
      </w:r>
      <w:r w:rsidR="00865DD9" w:rsidRPr="002906BC">
        <w:rPr>
          <w:rFonts w:asciiTheme="majorBidi" w:hAnsiTheme="majorBidi" w:cstheme="majorBidi"/>
          <w:sz w:val="24"/>
          <w:szCs w:val="24"/>
        </w:rPr>
        <w:t xml:space="preserve"> a concentration of 100 </w:t>
      </w:r>
      <w:proofErr w:type="spellStart"/>
      <w:r w:rsidR="00865DD9" w:rsidRPr="002906BC">
        <w:rPr>
          <w:rFonts w:asciiTheme="majorBidi" w:hAnsiTheme="majorBidi" w:cstheme="majorBidi"/>
          <w:sz w:val="24"/>
          <w:szCs w:val="24"/>
        </w:rPr>
        <w:t>pmol</w:t>
      </w:r>
      <w:proofErr w:type="spellEnd"/>
      <w:r w:rsidR="00865DD9" w:rsidRPr="002906BC">
        <w:rPr>
          <w:rFonts w:asciiTheme="majorBidi" w:hAnsiTheme="majorBidi" w:cstheme="majorBidi"/>
          <w:sz w:val="24"/>
          <w:szCs w:val="24"/>
        </w:rPr>
        <w:t xml:space="preserve">/mcl stock solution. From which, diluted solution work solution was </w:t>
      </w:r>
      <w:proofErr w:type="spellStart"/>
      <w:r w:rsidR="00865DD9" w:rsidRPr="002906BC">
        <w:rPr>
          <w:rFonts w:asciiTheme="majorBidi" w:hAnsiTheme="majorBidi" w:cstheme="majorBidi"/>
          <w:sz w:val="24"/>
          <w:szCs w:val="24"/>
        </w:rPr>
        <w:t>alsoprepared</w:t>
      </w:r>
      <w:proofErr w:type="spellEnd"/>
      <w:r w:rsidR="00865DD9" w:rsidRPr="002906BC">
        <w:rPr>
          <w:rFonts w:asciiTheme="majorBidi" w:hAnsiTheme="majorBidi" w:cstheme="majorBidi"/>
          <w:sz w:val="24"/>
          <w:szCs w:val="24"/>
        </w:rPr>
        <w:t xml:space="preserve"> by adding 10µl of each stock solution primer to 90 µl of nuclease free water. </w:t>
      </w:r>
      <w:r w:rsidRPr="002906BC">
        <w:rPr>
          <w:rFonts w:asciiTheme="majorBidi" w:hAnsiTheme="majorBidi" w:cstheme="majorBidi"/>
          <w:sz w:val="24"/>
          <w:szCs w:val="24"/>
        </w:rPr>
        <w:t>This work solution was</w:t>
      </w:r>
      <w:r w:rsidR="00865DD9" w:rsidRPr="002906BC">
        <w:rPr>
          <w:rFonts w:asciiTheme="majorBidi" w:hAnsiTheme="majorBidi" w:cstheme="majorBidi"/>
          <w:sz w:val="24"/>
          <w:szCs w:val="24"/>
        </w:rPr>
        <w:t xml:space="preserve"> kept at -20 ˚C</w:t>
      </w:r>
      <w:r w:rsidRPr="002906BC">
        <w:rPr>
          <w:rFonts w:asciiTheme="majorBidi" w:hAnsiTheme="majorBidi" w:cstheme="majorBidi"/>
          <w:sz w:val="24"/>
          <w:szCs w:val="24"/>
        </w:rPr>
        <w:t xml:space="preserve"> </w:t>
      </w:r>
      <w:r w:rsidR="00865DD9" w:rsidRPr="002906BC">
        <w:rPr>
          <w:rFonts w:asciiTheme="majorBidi" w:hAnsiTheme="majorBidi" w:cstheme="majorBidi"/>
          <w:sz w:val="24"/>
          <w:szCs w:val="24"/>
        </w:rPr>
        <w:t>until further use.</w:t>
      </w:r>
    </w:p>
    <w:p w:rsidR="00865DD9" w:rsidRPr="002906BC" w:rsidRDefault="00865DD9" w:rsidP="00275B2E">
      <w:pPr>
        <w:bidi w:val="0"/>
        <w:jc w:val="both"/>
        <w:rPr>
          <w:rFonts w:asciiTheme="majorBidi" w:hAnsiTheme="majorBidi" w:cstheme="majorBidi"/>
          <w:sz w:val="24"/>
          <w:szCs w:val="24"/>
        </w:rPr>
      </w:pPr>
      <w:r w:rsidRPr="002906BC">
        <w:rPr>
          <w:rFonts w:asciiTheme="majorBidi" w:hAnsiTheme="majorBidi" w:cstheme="majorBidi"/>
          <w:sz w:val="24"/>
          <w:szCs w:val="24"/>
        </w:rPr>
        <w:t xml:space="preserve">Table (1) illustrates the primers used to amplify the CTLA-4 (+49A/G) Gene Polymorphism </w:t>
      </w:r>
    </w:p>
    <w:tbl>
      <w:tblPr>
        <w:tblStyle w:val="MediumShading2-Accent1"/>
        <w:tblW w:w="8330" w:type="dxa"/>
        <w:tblLayout w:type="fixed"/>
        <w:tblLook w:val="01E0" w:firstRow="1" w:lastRow="1" w:firstColumn="1" w:lastColumn="1" w:noHBand="0" w:noVBand="0"/>
      </w:tblPr>
      <w:tblGrid>
        <w:gridCol w:w="1456"/>
        <w:gridCol w:w="1204"/>
        <w:gridCol w:w="3872"/>
        <w:gridCol w:w="1798"/>
      </w:tblGrid>
      <w:tr w:rsidR="00741A80" w:rsidRPr="002906BC" w:rsidTr="00275B2E">
        <w:trPr>
          <w:cnfStyle w:val="100000000000" w:firstRow="1" w:lastRow="0" w:firstColumn="0" w:lastColumn="0" w:oddVBand="0" w:evenVBand="0" w:oddHBand="0" w:evenHBand="0" w:firstRowFirstColumn="0" w:firstRowLastColumn="0" w:lastRowFirstColumn="0" w:lastRowLastColumn="0"/>
          <w:trHeight w:val="351"/>
        </w:trPr>
        <w:tc>
          <w:tcPr>
            <w:cnfStyle w:val="001000000100" w:firstRow="0" w:lastRow="0" w:firstColumn="1" w:lastColumn="0" w:oddVBand="0" w:evenVBand="0" w:oddHBand="0" w:evenHBand="0" w:firstRowFirstColumn="1" w:firstRowLastColumn="0" w:lastRowFirstColumn="0" w:lastRowLastColumn="0"/>
            <w:tcW w:w="1456" w:type="dxa"/>
          </w:tcPr>
          <w:p w:rsidR="00865DD9" w:rsidRPr="002906BC" w:rsidRDefault="00865DD9" w:rsidP="00275B2E">
            <w:pPr>
              <w:pStyle w:val="TableParagraph"/>
              <w:spacing w:before="1" w:line="276" w:lineRule="auto"/>
              <w:ind w:left="460"/>
              <w:rPr>
                <w:rFonts w:asciiTheme="majorBidi" w:hAnsiTheme="majorBidi" w:cstheme="majorBidi"/>
                <w:b w:val="0"/>
                <w:sz w:val="18"/>
                <w:szCs w:val="18"/>
              </w:rPr>
            </w:pPr>
            <w:r w:rsidRPr="002906BC">
              <w:rPr>
                <w:rFonts w:asciiTheme="majorBidi" w:hAnsiTheme="majorBidi" w:cstheme="majorBidi"/>
                <w:b w:val="0"/>
                <w:sz w:val="18"/>
                <w:szCs w:val="18"/>
              </w:rPr>
              <w:t>Primers</w:t>
            </w:r>
          </w:p>
        </w:tc>
        <w:tc>
          <w:tcPr>
            <w:cnfStyle w:val="000010000000" w:firstRow="0" w:lastRow="0" w:firstColumn="0" w:lastColumn="0" w:oddVBand="1" w:evenVBand="0" w:oddHBand="0" w:evenHBand="0" w:firstRowFirstColumn="0" w:firstRowLastColumn="0" w:lastRowFirstColumn="0" w:lastRowLastColumn="0"/>
            <w:tcW w:w="1204" w:type="dxa"/>
          </w:tcPr>
          <w:p w:rsidR="00865DD9" w:rsidRPr="002906BC" w:rsidRDefault="00865DD9" w:rsidP="00275B2E">
            <w:pPr>
              <w:pStyle w:val="TableParagraph"/>
              <w:spacing w:line="276" w:lineRule="auto"/>
              <w:rPr>
                <w:rFonts w:asciiTheme="majorBidi" w:hAnsiTheme="majorBidi" w:cstheme="majorBidi"/>
                <w:b w:val="0"/>
                <w:sz w:val="18"/>
                <w:szCs w:val="18"/>
              </w:rPr>
            </w:pPr>
            <w:r w:rsidRPr="002906BC">
              <w:rPr>
                <w:rFonts w:asciiTheme="majorBidi" w:hAnsiTheme="majorBidi" w:cstheme="majorBidi"/>
                <w:b w:val="0"/>
                <w:sz w:val="18"/>
                <w:szCs w:val="18"/>
              </w:rPr>
              <w:t>Type of primers</w:t>
            </w:r>
          </w:p>
        </w:tc>
        <w:tc>
          <w:tcPr>
            <w:tcW w:w="3872" w:type="dxa"/>
          </w:tcPr>
          <w:p w:rsidR="00865DD9" w:rsidRPr="002906BC" w:rsidRDefault="00865DD9" w:rsidP="00275B2E">
            <w:pPr>
              <w:pStyle w:val="TableParagraph"/>
              <w:spacing w:before="1" w:line="276" w:lineRule="auto"/>
              <w:ind w:left="123" w:right="11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18"/>
                <w:szCs w:val="18"/>
              </w:rPr>
            </w:pPr>
            <w:r w:rsidRPr="002906BC">
              <w:rPr>
                <w:rFonts w:asciiTheme="majorBidi" w:hAnsiTheme="majorBidi" w:cstheme="majorBidi"/>
                <w:b w:val="0"/>
                <w:sz w:val="18"/>
                <w:szCs w:val="18"/>
              </w:rPr>
              <w:t>Sequence</w:t>
            </w:r>
          </w:p>
        </w:tc>
        <w:tc>
          <w:tcPr>
            <w:cnfStyle w:val="000100001000" w:firstRow="0" w:lastRow="0" w:firstColumn="0" w:lastColumn="1" w:oddVBand="0" w:evenVBand="0" w:oddHBand="0" w:evenHBand="0" w:firstRowFirstColumn="0" w:firstRowLastColumn="1" w:lastRowFirstColumn="0" w:lastRowLastColumn="0"/>
            <w:tcW w:w="1798" w:type="dxa"/>
          </w:tcPr>
          <w:p w:rsidR="00865DD9" w:rsidRPr="002906BC" w:rsidRDefault="00865DD9" w:rsidP="00275B2E">
            <w:pPr>
              <w:pStyle w:val="TableParagraph"/>
              <w:spacing w:line="276" w:lineRule="auto"/>
              <w:ind w:left="106" w:right="93"/>
              <w:rPr>
                <w:rFonts w:asciiTheme="majorBidi" w:hAnsiTheme="majorBidi" w:cstheme="majorBidi"/>
                <w:b w:val="0"/>
                <w:sz w:val="18"/>
                <w:szCs w:val="18"/>
              </w:rPr>
            </w:pPr>
            <w:r w:rsidRPr="002906BC">
              <w:rPr>
                <w:rFonts w:asciiTheme="majorBidi" w:hAnsiTheme="majorBidi" w:cstheme="majorBidi"/>
                <w:b w:val="0"/>
                <w:sz w:val="18"/>
                <w:szCs w:val="18"/>
              </w:rPr>
              <w:t>Product size (</w:t>
            </w:r>
            <w:proofErr w:type="spellStart"/>
            <w:r w:rsidRPr="002906BC">
              <w:rPr>
                <w:rFonts w:asciiTheme="majorBidi" w:hAnsiTheme="majorBidi" w:cstheme="majorBidi"/>
                <w:b w:val="0"/>
                <w:sz w:val="18"/>
                <w:szCs w:val="18"/>
              </w:rPr>
              <w:t>bp</w:t>
            </w:r>
            <w:proofErr w:type="spellEnd"/>
            <w:r w:rsidRPr="002906BC">
              <w:rPr>
                <w:rFonts w:asciiTheme="majorBidi" w:hAnsiTheme="majorBidi" w:cstheme="majorBidi"/>
                <w:b w:val="0"/>
                <w:sz w:val="18"/>
                <w:szCs w:val="18"/>
              </w:rPr>
              <w:t>)</w:t>
            </w:r>
          </w:p>
        </w:tc>
      </w:tr>
      <w:tr w:rsidR="00865DD9" w:rsidRPr="002906BC" w:rsidTr="00275B2E">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456" w:type="dxa"/>
            <w:vMerge w:val="restart"/>
          </w:tcPr>
          <w:p w:rsidR="00865DD9" w:rsidRPr="002906BC" w:rsidRDefault="00865DD9" w:rsidP="00275B2E">
            <w:pPr>
              <w:pStyle w:val="TableParagraph"/>
              <w:spacing w:before="7" w:line="276" w:lineRule="auto"/>
              <w:rPr>
                <w:rFonts w:asciiTheme="majorBidi" w:hAnsiTheme="majorBidi" w:cstheme="majorBidi"/>
                <w:b w:val="0"/>
                <w:sz w:val="18"/>
                <w:szCs w:val="18"/>
              </w:rPr>
            </w:pPr>
          </w:p>
          <w:p w:rsidR="00865DD9" w:rsidRPr="002906BC" w:rsidRDefault="00865DD9" w:rsidP="00275B2E">
            <w:pPr>
              <w:pStyle w:val="TableParagraph"/>
              <w:spacing w:line="276" w:lineRule="auto"/>
              <w:ind w:left="415" w:right="404" w:hanging="1"/>
              <w:jc w:val="center"/>
              <w:rPr>
                <w:rFonts w:asciiTheme="majorBidi" w:hAnsiTheme="majorBidi" w:cstheme="majorBidi"/>
                <w:b w:val="0"/>
                <w:sz w:val="18"/>
                <w:szCs w:val="18"/>
              </w:rPr>
            </w:pPr>
            <w:r w:rsidRPr="002906BC">
              <w:rPr>
                <w:rFonts w:asciiTheme="majorBidi" w:hAnsiTheme="majorBidi" w:cstheme="majorBidi"/>
                <w:b w:val="0"/>
                <w:color w:val="212121"/>
                <w:sz w:val="18"/>
                <w:szCs w:val="18"/>
              </w:rPr>
              <w:t>CTLA-4</w:t>
            </w:r>
            <w:r w:rsidRPr="002906BC">
              <w:rPr>
                <w:rFonts w:asciiTheme="majorBidi" w:hAnsiTheme="majorBidi" w:cstheme="majorBidi"/>
                <w:b w:val="0"/>
                <w:color w:val="212121"/>
                <w:spacing w:val="1"/>
                <w:sz w:val="18"/>
                <w:szCs w:val="18"/>
              </w:rPr>
              <w:t xml:space="preserve"> </w:t>
            </w:r>
            <w:r w:rsidRPr="002906BC">
              <w:rPr>
                <w:rFonts w:asciiTheme="majorBidi" w:hAnsiTheme="majorBidi" w:cstheme="majorBidi"/>
                <w:b w:val="0"/>
                <w:color w:val="212121"/>
                <w:sz w:val="18"/>
                <w:szCs w:val="18"/>
              </w:rPr>
              <w:t>(+49A/G)</w:t>
            </w:r>
          </w:p>
          <w:p w:rsidR="00865DD9" w:rsidRPr="002906BC" w:rsidRDefault="00865DD9" w:rsidP="00275B2E">
            <w:pPr>
              <w:pStyle w:val="TableParagraph"/>
              <w:spacing w:line="276" w:lineRule="auto"/>
              <w:ind w:left="145" w:right="130" w:hanging="5"/>
              <w:jc w:val="center"/>
              <w:rPr>
                <w:rFonts w:asciiTheme="majorBidi" w:hAnsiTheme="majorBidi" w:cstheme="majorBidi"/>
                <w:b w:val="0"/>
                <w:sz w:val="18"/>
                <w:szCs w:val="18"/>
              </w:rPr>
            </w:pPr>
            <w:r w:rsidRPr="002906BC">
              <w:rPr>
                <w:rFonts w:asciiTheme="majorBidi" w:hAnsiTheme="majorBidi" w:cstheme="majorBidi"/>
                <w:b w:val="0"/>
                <w:color w:val="212121"/>
                <w:sz w:val="18"/>
                <w:szCs w:val="18"/>
              </w:rPr>
              <w:t>Gene</w:t>
            </w:r>
            <w:r w:rsidRPr="002906BC">
              <w:rPr>
                <w:rFonts w:asciiTheme="majorBidi" w:hAnsiTheme="majorBidi" w:cstheme="majorBidi"/>
                <w:b w:val="0"/>
                <w:color w:val="212121"/>
                <w:spacing w:val="1"/>
                <w:sz w:val="18"/>
                <w:szCs w:val="18"/>
              </w:rPr>
              <w:t xml:space="preserve"> </w:t>
            </w:r>
            <w:r w:rsidRPr="002906BC">
              <w:rPr>
                <w:rFonts w:asciiTheme="majorBidi" w:hAnsiTheme="majorBidi" w:cstheme="majorBidi"/>
                <w:b w:val="0"/>
                <w:color w:val="212121"/>
                <w:sz w:val="18"/>
                <w:szCs w:val="18"/>
              </w:rPr>
              <w:t>Polymorphism</w:t>
            </w:r>
          </w:p>
        </w:tc>
        <w:tc>
          <w:tcPr>
            <w:cnfStyle w:val="000010000000" w:firstRow="0" w:lastRow="0" w:firstColumn="0" w:lastColumn="0" w:oddVBand="1" w:evenVBand="0" w:oddHBand="0" w:evenHBand="0" w:firstRowFirstColumn="0" w:firstRowLastColumn="0" w:lastRowFirstColumn="0" w:lastRowLastColumn="0"/>
            <w:tcW w:w="1204" w:type="dxa"/>
          </w:tcPr>
          <w:p w:rsidR="00865DD9" w:rsidRPr="002906BC" w:rsidRDefault="00865DD9" w:rsidP="00275B2E">
            <w:pPr>
              <w:pStyle w:val="TableParagraph"/>
              <w:spacing w:before="10" w:line="276" w:lineRule="auto"/>
              <w:jc w:val="center"/>
              <w:rPr>
                <w:rFonts w:asciiTheme="majorBidi" w:hAnsiTheme="majorBidi" w:cstheme="majorBidi"/>
                <w:b/>
                <w:sz w:val="18"/>
                <w:szCs w:val="18"/>
              </w:rPr>
            </w:pPr>
          </w:p>
          <w:p w:rsidR="00865DD9" w:rsidRPr="002906BC" w:rsidRDefault="00865DD9" w:rsidP="00275B2E">
            <w:pPr>
              <w:pStyle w:val="TableParagraph"/>
              <w:spacing w:line="276" w:lineRule="auto"/>
              <w:ind w:right="406"/>
              <w:rPr>
                <w:rFonts w:asciiTheme="majorBidi" w:hAnsiTheme="majorBidi" w:cstheme="majorBidi"/>
                <w:b/>
                <w:sz w:val="18"/>
                <w:szCs w:val="18"/>
              </w:rPr>
            </w:pPr>
            <w:r w:rsidRPr="002906BC">
              <w:rPr>
                <w:rFonts w:asciiTheme="majorBidi" w:hAnsiTheme="majorBidi" w:cstheme="majorBidi"/>
                <w:b/>
                <w:sz w:val="18"/>
                <w:szCs w:val="18"/>
              </w:rPr>
              <w:t>O-F</w:t>
            </w:r>
          </w:p>
        </w:tc>
        <w:tc>
          <w:tcPr>
            <w:tcW w:w="3872" w:type="dxa"/>
          </w:tcPr>
          <w:p w:rsidR="00865DD9" w:rsidRPr="002906BC" w:rsidRDefault="00865DD9" w:rsidP="00275B2E">
            <w:pPr>
              <w:pStyle w:val="TableParagraph"/>
              <w:spacing w:before="1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8"/>
                <w:szCs w:val="18"/>
              </w:rPr>
            </w:pPr>
          </w:p>
          <w:p w:rsidR="00865DD9" w:rsidRPr="002906BC" w:rsidRDefault="00865DD9" w:rsidP="00275B2E">
            <w:pPr>
              <w:pStyle w:val="TableParagraph"/>
              <w:spacing w:line="276" w:lineRule="auto"/>
              <w:ind w:left="124" w:right="11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8"/>
                <w:szCs w:val="18"/>
              </w:rPr>
            </w:pPr>
            <w:r w:rsidRPr="002906BC">
              <w:rPr>
                <w:rFonts w:asciiTheme="majorBidi" w:hAnsiTheme="majorBidi" w:cstheme="majorBidi"/>
                <w:b/>
                <w:color w:val="212121"/>
                <w:sz w:val="18"/>
                <w:szCs w:val="18"/>
              </w:rPr>
              <w:t>5-GTGGGTTCAAACACATTTCAAAGCTTCAGG-3</w:t>
            </w:r>
          </w:p>
        </w:tc>
        <w:tc>
          <w:tcPr>
            <w:cnfStyle w:val="000100000000" w:firstRow="0" w:lastRow="0" w:firstColumn="0" w:lastColumn="1" w:oddVBand="0" w:evenVBand="0" w:oddHBand="0" w:evenHBand="0" w:firstRowFirstColumn="0" w:firstRowLastColumn="0" w:lastRowFirstColumn="0" w:lastRowLastColumn="0"/>
            <w:tcW w:w="1798" w:type="dxa"/>
            <w:vMerge w:val="restart"/>
          </w:tcPr>
          <w:p w:rsidR="00865DD9" w:rsidRPr="002906BC" w:rsidRDefault="00865DD9" w:rsidP="00275B2E">
            <w:pPr>
              <w:pStyle w:val="TableParagraph"/>
              <w:spacing w:line="276" w:lineRule="auto"/>
              <w:jc w:val="center"/>
              <w:rPr>
                <w:rFonts w:asciiTheme="majorBidi" w:hAnsiTheme="majorBidi" w:cstheme="majorBidi"/>
                <w:b w:val="0"/>
                <w:sz w:val="18"/>
                <w:szCs w:val="18"/>
              </w:rPr>
            </w:pPr>
          </w:p>
          <w:p w:rsidR="00865DD9" w:rsidRPr="002906BC" w:rsidRDefault="00865DD9" w:rsidP="00275B2E">
            <w:pPr>
              <w:pStyle w:val="TableParagraph"/>
              <w:spacing w:line="276" w:lineRule="auto"/>
              <w:jc w:val="center"/>
              <w:rPr>
                <w:rFonts w:asciiTheme="majorBidi" w:hAnsiTheme="majorBidi" w:cstheme="majorBidi"/>
                <w:b w:val="0"/>
                <w:sz w:val="18"/>
                <w:szCs w:val="18"/>
              </w:rPr>
            </w:pPr>
            <w:r w:rsidRPr="002906BC">
              <w:rPr>
                <w:rFonts w:asciiTheme="majorBidi" w:hAnsiTheme="majorBidi" w:cstheme="majorBidi"/>
                <w:b w:val="0"/>
                <w:sz w:val="18"/>
                <w:szCs w:val="18"/>
                <w:rtl/>
              </w:rPr>
              <w:t>229</w:t>
            </w:r>
          </w:p>
          <w:p w:rsidR="00865DD9" w:rsidRPr="002906BC" w:rsidRDefault="00865DD9" w:rsidP="00275B2E">
            <w:pPr>
              <w:pStyle w:val="TableParagraph"/>
              <w:spacing w:before="232" w:line="276" w:lineRule="auto"/>
              <w:ind w:left="295"/>
              <w:jc w:val="center"/>
              <w:rPr>
                <w:rFonts w:asciiTheme="majorBidi" w:hAnsiTheme="majorBidi" w:cstheme="majorBidi"/>
                <w:b w:val="0"/>
                <w:sz w:val="18"/>
                <w:szCs w:val="18"/>
              </w:rPr>
            </w:pPr>
          </w:p>
        </w:tc>
      </w:tr>
      <w:tr w:rsidR="00865DD9" w:rsidRPr="002906BC" w:rsidTr="00275B2E">
        <w:trPr>
          <w:trHeight w:val="545"/>
        </w:trPr>
        <w:tc>
          <w:tcPr>
            <w:cnfStyle w:val="001000000000" w:firstRow="0" w:lastRow="0" w:firstColumn="1" w:lastColumn="0" w:oddVBand="0" w:evenVBand="0" w:oddHBand="0" w:evenHBand="0" w:firstRowFirstColumn="0" w:firstRowLastColumn="0" w:lastRowFirstColumn="0" w:lastRowLastColumn="0"/>
            <w:tcW w:w="1456" w:type="dxa"/>
            <w:vMerge/>
          </w:tcPr>
          <w:p w:rsidR="00865DD9" w:rsidRPr="002906BC" w:rsidRDefault="00865DD9" w:rsidP="00275B2E">
            <w:pPr>
              <w:spacing w:line="276" w:lineRule="auto"/>
              <w:rPr>
                <w:rFonts w:asciiTheme="majorBidi" w:hAnsiTheme="majorBidi" w:cstheme="majorBidi"/>
                <w:b w:val="0"/>
                <w:sz w:val="18"/>
                <w:szCs w:val="18"/>
              </w:rPr>
            </w:pPr>
          </w:p>
        </w:tc>
        <w:tc>
          <w:tcPr>
            <w:cnfStyle w:val="000010000000" w:firstRow="0" w:lastRow="0" w:firstColumn="0" w:lastColumn="0" w:oddVBand="1" w:evenVBand="0" w:oddHBand="0" w:evenHBand="0" w:firstRowFirstColumn="0" w:firstRowLastColumn="0" w:lastRowFirstColumn="0" w:lastRowLastColumn="0"/>
            <w:tcW w:w="1204" w:type="dxa"/>
          </w:tcPr>
          <w:p w:rsidR="00865DD9" w:rsidRPr="002906BC" w:rsidRDefault="00865DD9" w:rsidP="00275B2E">
            <w:pPr>
              <w:pStyle w:val="TableParagraph"/>
              <w:spacing w:before="10" w:line="276" w:lineRule="auto"/>
              <w:jc w:val="center"/>
              <w:rPr>
                <w:rFonts w:asciiTheme="majorBidi" w:hAnsiTheme="majorBidi" w:cstheme="majorBidi"/>
                <w:b/>
                <w:sz w:val="18"/>
                <w:szCs w:val="18"/>
              </w:rPr>
            </w:pPr>
          </w:p>
          <w:p w:rsidR="00865DD9" w:rsidRPr="002906BC" w:rsidRDefault="00865DD9" w:rsidP="00275B2E">
            <w:pPr>
              <w:pStyle w:val="TableParagraph"/>
              <w:spacing w:before="1" w:line="276" w:lineRule="auto"/>
              <w:rPr>
                <w:rFonts w:asciiTheme="majorBidi" w:hAnsiTheme="majorBidi" w:cstheme="majorBidi"/>
                <w:b/>
                <w:sz w:val="18"/>
                <w:szCs w:val="18"/>
              </w:rPr>
            </w:pPr>
            <w:r w:rsidRPr="002906BC">
              <w:rPr>
                <w:rFonts w:asciiTheme="majorBidi" w:hAnsiTheme="majorBidi" w:cstheme="majorBidi"/>
                <w:b/>
                <w:sz w:val="18"/>
                <w:szCs w:val="18"/>
              </w:rPr>
              <w:t>O-R</w:t>
            </w:r>
          </w:p>
        </w:tc>
        <w:tc>
          <w:tcPr>
            <w:tcW w:w="3872" w:type="dxa"/>
          </w:tcPr>
          <w:p w:rsidR="00865DD9" w:rsidRPr="002906BC" w:rsidRDefault="00865DD9" w:rsidP="00275B2E">
            <w:pPr>
              <w:pStyle w:val="TableParagraph"/>
              <w:spacing w:before="1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8"/>
                <w:szCs w:val="18"/>
              </w:rPr>
            </w:pPr>
          </w:p>
          <w:p w:rsidR="00865DD9" w:rsidRPr="002906BC" w:rsidRDefault="00865DD9" w:rsidP="00275B2E">
            <w:pPr>
              <w:pStyle w:val="TableParagraph"/>
              <w:spacing w:before="1" w:line="276" w:lineRule="auto"/>
              <w:ind w:left="119" w:right="11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8"/>
                <w:szCs w:val="18"/>
              </w:rPr>
            </w:pPr>
            <w:r w:rsidRPr="002906BC">
              <w:rPr>
                <w:rFonts w:asciiTheme="majorBidi" w:hAnsiTheme="majorBidi" w:cstheme="majorBidi"/>
                <w:b/>
                <w:color w:val="212121"/>
                <w:sz w:val="18"/>
                <w:szCs w:val="18"/>
              </w:rPr>
              <w:t>5-TCCATCTTCATGCTCCAAAAGTCTCACTC-3</w:t>
            </w:r>
          </w:p>
        </w:tc>
        <w:tc>
          <w:tcPr>
            <w:cnfStyle w:val="000100000000" w:firstRow="0" w:lastRow="0" w:firstColumn="0" w:lastColumn="1" w:oddVBand="0" w:evenVBand="0" w:oddHBand="0" w:evenHBand="0" w:firstRowFirstColumn="0" w:firstRowLastColumn="0" w:lastRowFirstColumn="0" w:lastRowLastColumn="0"/>
            <w:tcW w:w="1798" w:type="dxa"/>
            <w:vMerge/>
          </w:tcPr>
          <w:p w:rsidR="00865DD9" w:rsidRPr="002906BC" w:rsidRDefault="00865DD9" w:rsidP="00275B2E">
            <w:pPr>
              <w:spacing w:line="276" w:lineRule="auto"/>
              <w:jc w:val="center"/>
              <w:rPr>
                <w:rFonts w:asciiTheme="majorBidi" w:hAnsiTheme="majorBidi" w:cstheme="majorBidi"/>
                <w:b w:val="0"/>
                <w:sz w:val="18"/>
                <w:szCs w:val="18"/>
              </w:rPr>
            </w:pPr>
          </w:p>
        </w:tc>
      </w:tr>
      <w:tr w:rsidR="00865DD9" w:rsidRPr="002906BC" w:rsidTr="00275B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56" w:type="dxa"/>
            <w:vMerge/>
          </w:tcPr>
          <w:p w:rsidR="00865DD9" w:rsidRPr="002906BC" w:rsidRDefault="00865DD9" w:rsidP="00275B2E">
            <w:pPr>
              <w:spacing w:line="276" w:lineRule="auto"/>
              <w:rPr>
                <w:rFonts w:asciiTheme="majorBidi" w:hAnsiTheme="majorBidi" w:cstheme="majorBidi"/>
                <w:b w:val="0"/>
                <w:sz w:val="18"/>
                <w:szCs w:val="18"/>
              </w:rPr>
            </w:pPr>
          </w:p>
        </w:tc>
        <w:tc>
          <w:tcPr>
            <w:cnfStyle w:val="000010000000" w:firstRow="0" w:lastRow="0" w:firstColumn="0" w:lastColumn="0" w:oddVBand="1" w:evenVBand="0" w:oddHBand="0" w:evenHBand="0" w:firstRowFirstColumn="0" w:firstRowLastColumn="0" w:lastRowFirstColumn="0" w:lastRowLastColumn="0"/>
            <w:tcW w:w="1204" w:type="dxa"/>
          </w:tcPr>
          <w:p w:rsidR="00865DD9" w:rsidRPr="002906BC" w:rsidRDefault="00865DD9" w:rsidP="00275B2E">
            <w:pPr>
              <w:pStyle w:val="TableParagraph"/>
              <w:spacing w:line="276" w:lineRule="auto"/>
              <w:rPr>
                <w:rFonts w:asciiTheme="majorBidi" w:hAnsiTheme="majorBidi" w:cstheme="majorBidi"/>
                <w:b/>
                <w:sz w:val="18"/>
                <w:szCs w:val="18"/>
              </w:rPr>
            </w:pPr>
            <w:r w:rsidRPr="002906BC">
              <w:rPr>
                <w:rFonts w:asciiTheme="majorBidi" w:hAnsiTheme="majorBidi" w:cstheme="majorBidi"/>
                <w:b/>
                <w:sz w:val="18"/>
                <w:szCs w:val="18"/>
              </w:rPr>
              <w:t>Allele</w:t>
            </w:r>
            <w:r w:rsidRPr="002906BC">
              <w:rPr>
                <w:rFonts w:asciiTheme="majorBidi" w:hAnsiTheme="majorBidi" w:cstheme="majorBidi"/>
                <w:b/>
                <w:spacing w:val="-1"/>
                <w:sz w:val="18"/>
                <w:szCs w:val="18"/>
              </w:rPr>
              <w:t xml:space="preserve"> </w:t>
            </w:r>
            <w:r w:rsidRPr="002906BC">
              <w:rPr>
                <w:rFonts w:asciiTheme="majorBidi" w:hAnsiTheme="majorBidi" w:cstheme="majorBidi"/>
                <w:b/>
                <w:sz w:val="18"/>
                <w:szCs w:val="18"/>
              </w:rPr>
              <w:t>A</w:t>
            </w:r>
          </w:p>
        </w:tc>
        <w:tc>
          <w:tcPr>
            <w:tcW w:w="3872" w:type="dxa"/>
          </w:tcPr>
          <w:p w:rsidR="00865DD9" w:rsidRPr="002906BC" w:rsidRDefault="00865DD9" w:rsidP="00275B2E">
            <w:pPr>
              <w:pStyle w:val="TableParagraph"/>
              <w:spacing w:before="1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8"/>
                <w:szCs w:val="18"/>
              </w:rPr>
            </w:pPr>
          </w:p>
          <w:p w:rsidR="00865DD9" w:rsidRPr="002906BC" w:rsidRDefault="00865DD9" w:rsidP="00275B2E">
            <w:pPr>
              <w:pStyle w:val="TableParagraph"/>
              <w:spacing w:line="276" w:lineRule="auto"/>
              <w:ind w:left="119" w:right="11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8"/>
                <w:szCs w:val="18"/>
              </w:rPr>
            </w:pPr>
            <w:r w:rsidRPr="002906BC">
              <w:rPr>
                <w:rFonts w:asciiTheme="majorBidi" w:hAnsiTheme="majorBidi" w:cstheme="majorBidi"/>
                <w:b/>
                <w:color w:val="212121"/>
                <w:sz w:val="18"/>
                <w:szCs w:val="18"/>
              </w:rPr>
              <w:t>5-</w:t>
            </w:r>
            <w:r w:rsidRPr="002906BC">
              <w:rPr>
                <w:rFonts w:asciiTheme="majorBidi" w:hAnsiTheme="majorBidi" w:cstheme="majorBidi"/>
                <w:b/>
                <w:sz w:val="18"/>
                <w:szCs w:val="18"/>
              </w:rPr>
              <w:t>ACAGGAGAGTGCAGGGCCAGGTCCTAGT-3</w:t>
            </w:r>
          </w:p>
        </w:tc>
        <w:tc>
          <w:tcPr>
            <w:cnfStyle w:val="000100000000" w:firstRow="0" w:lastRow="0" w:firstColumn="0" w:lastColumn="1" w:oddVBand="0" w:evenVBand="0" w:oddHBand="0" w:evenHBand="0" w:firstRowFirstColumn="0" w:firstRowLastColumn="0" w:lastRowFirstColumn="0" w:lastRowLastColumn="0"/>
            <w:tcW w:w="1798" w:type="dxa"/>
          </w:tcPr>
          <w:p w:rsidR="00865DD9" w:rsidRPr="002906BC" w:rsidRDefault="00865DD9" w:rsidP="00275B2E">
            <w:pPr>
              <w:pStyle w:val="TableParagraph"/>
              <w:spacing w:line="276" w:lineRule="auto"/>
              <w:ind w:left="103" w:right="93"/>
              <w:jc w:val="center"/>
              <w:rPr>
                <w:rFonts w:asciiTheme="majorBidi" w:hAnsiTheme="majorBidi" w:cstheme="majorBidi"/>
                <w:b w:val="0"/>
                <w:sz w:val="18"/>
                <w:szCs w:val="18"/>
              </w:rPr>
            </w:pPr>
            <w:r w:rsidRPr="002906BC">
              <w:rPr>
                <w:rFonts w:asciiTheme="majorBidi" w:hAnsiTheme="majorBidi" w:cstheme="majorBidi"/>
                <w:b w:val="0"/>
                <w:sz w:val="18"/>
                <w:szCs w:val="18"/>
              </w:rPr>
              <w:t>162</w:t>
            </w:r>
          </w:p>
        </w:tc>
      </w:tr>
      <w:tr w:rsidR="00865DD9" w:rsidRPr="002906BC" w:rsidTr="00275B2E">
        <w:trPr>
          <w:cnfStyle w:val="010000000000" w:firstRow="0" w:lastRow="1"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56" w:type="dxa"/>
            <w:vMerge/>
          </w:tcPr>
          <w:p w:rsidR="00865DD9" w:rsidRPr="002906BC" w:rsidRDefault="00865DD9" w:rsidP="00275B2E">
            <w:pPr>
              <w:spacing w:line="276" w:lineRule="auto"/>
              <w:rPr>
                <w:rFonts w:asciiTheme="majorBidi" w:hAnsiTheme="majorBidi" w:cstheme="majorBidi"/>
                <w:b w:val="0"/>
                <w:sz w:val="18"/>
                <w:szCs w:val="18"/>
              </w:rPr>
            </w:pPr>
          </w:p>
        </w:tc>
        <w:tc>
          <w:tcPr>
            <w:cnfStyle w:val="000010000000" w:firstRow="0" w:lastRow="0" w:firstColumn="0" w:lastColumn="0" w:oddVBand="1" w:evenVBand="0" w:oddHBand="0" w:evenHBand="0" w:firstRowFirstColumn="0" w:firstRowLastColumn="0" w:lastRowFirstColumn="0" w:lastRowLastColumn="0"/>
            <w:tcW w:w="1204" w:type="dxa"/>
          </w:tcPr>
          <w:p w:rsidR="00865DD9" w:rsidRPr="002906BC" w:rsidRDefault="00275B2E" w:rsidP="00275B2E">
            <w:pPr>
              <w:pStyle w:val="TableParagraph"/>
              <w:spacing w:line="276" w:lineRule="auto"/>
              <w:ind w:right="206"/>
              <w:rPr>
                <w:rFonts w:asciiTheme="majorBidi" w:hAnsiTheme="majorBidi" w:cstheme="majorBidi"/>
                <w:b/>
                <w:sz w:val="18"/>
                <w:szCs w:val="18"/>
              </w:rPr>
            </w:pPr>
            <w:r w:rsidRPr="002906BC">
              <w:rPr>
                <w:rFonts w:asciiTheme="majorBidi" w:hAnsiTheme="majorBidi" w:cstheme="majorBidi"/>
                <w:b/>
                <w:color w:val="212121"/>
                <w:sz w:val="18"/>
                <w:szCs w:val="18"/>
                <w:rtl/>
              </w:rPr>
              <w:t xml:space="preserve"> </w:t>
            </w:r>
            <w:r w:rsidR="00865DD9" w:rsidRPr="002906BC">
              <w:rPr>
                <w:rFonts w:asciiTheme="majorBidi" w:hAnsiTheme="majorBidi" w:cstheme="majorBidi"/>
                <w:b/>
                <w:color w:val="212121"/>
                <w:sz w:val="18"/>
                <w:szCs w:val="18"/>
              </w:rPr>
              <w:t>Allele</w:t>
            </w:r>
            <w:r w:rsidR="00865DD9" w:rsidRPr="002906BC">
              <w:rPr>
                <w:rFonts w:asciiTheme="majorBidi" w:hAnsiTheme="majorBidi" w:cstheme="majorBidi"/>
                <w:b/>
                <w:color w:val="212121"/>
                <w:spacing w:val="-1"/>
                <w:sz w:val="18"/>
                <w:szCs w:val="18"/>
              </w:rPr>
              <w:t xml:space="preserve"> </w:t>
            </w:r>
            <w:r w:rsidR="00865DD9" w:rsidRPr="002906BC">
              <w:rPr>
                <w:rFonts w:asciiTheme="majorBidi" w:hAnsiTheme="majorBidi" w:cstheme="majorBidi"/>
                <w:b/>
                <w:color w:val="212121"/>
                <w:sz w:val="18"/>
                <w:szCs w:val="18"/>
              </w:rPr>
              <w:t>G</w:t>
            </w:r>
          </w:p>
        </w:tc>
        <w:tc>
          <w:tcPr>
            <w:tcW w:w="3872" w:type="dxa"/>
          </w:tcPr>
          <w:p w:rsidR="00865DD9" w:rsidRPr="002906BC" w:rsidRDefault="00865DD9" w:rsidP="00275B2E">
            <w:pPr>
              <w:pStyle w:val="TableParagraph"/>
              <w:spacing w:before="10" w:line="276" w:lineRule="auto"/>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sz w:val="18"/>
                <w:szCs w:val="18"/>
              </w:rPr>
            </w:pPr>
          </w:p>
          <w:p w:rsidR="00865DD9" w:rsidRPr="002906BC" w:rsidRDefault="00865DD9" w:rsidP="00275B2E">
            <w:pPr>
              <w:pStyle w:val="TableParagraph"/>
              <w:spacing w:line="276" w:lineRule="auto"/>
              <w:ind w:left="114" w:right="11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sz w:val="18"/>
                <w:szCs w:val="18"/>
              </w:rPr>
            </w:pPr>
            <w:r w:rsidRPr="002906BC">
              <w:rPr>
                <w:rFonts w:asciiTheme="majorBidi" w:hAnsiTheme="majorBidi" w:cstheme="majorBidi"/>
                <w:b/>
                <w:sz w:val="18"/>
                <w:szCs w:val="18"/>
              </w:rPr>
              <w:t>5-GCACAAGGCTCAGCTGAACCTGGATG-3</w:t>
            </w:r>
          </w:p>
        </w:tc>
        <w:tc>
          <w:tcPr>
            <w:cnfStyle w:val="000100000000" w:firstRow="0" w:lastRow="0" w:firstColumn="0" w:lastColumn="1" w:oddVBand="0" w:evenVBand="0" w:oddHBand="0" w:evenHBand="0" w:firstRowFirstColumn="0" w:firstRowLastColumn="0" w:lastRowFirstColumn="0" w:lastRowLastColumn="0"/>
            <w:tcW w:w="1798" w:type="dxa"/>
          </w:tcPr>
          <w:p w:rsidR="00865DD9" w:rsidRPr="002906BC" w:rsidRDefault="00865DD9" w:rsidP="00275B2E">
            <w:pPr>
              <w:pStyle w:val="TableParagraph"/>
              <w:spacing w:before="10" w:line="276" w:lineRule="auto"/>
              <w:jc w:val="center"/>
              <w:rPr>
                <w:rFonts w:asciiTheme="majorBidi" w:hAnsiTheme="majorBidi" w:cstheme="majorBidi"/>
                <w:b w:val="0"/>
                <w:sz w:val="18"/>
                <w:szCs w:val="18"/>
              </w:rPr>
            </w:pPr>
          </w:p>
          <w:p w:rsidR="00865DD9" w:rsidRPr="002906BC" w:rsidRDefault="00865DD9" w:rsidP="00275B2E">
            <w:pPr>
              <w:pStyle w:val="TableParagraph"/>
              <w:spacing w:line="276" w:lineRule="auto"/>
              <w:ind w:left="103" w:right="93"/>
              <w:jc w:val="center"/>
              <w:rPr>
                <w:rFonts w:asciiTheme="majorBidi" w:hAnsiTheme="majorBidi" w:cstheme="majorBidi"/>
                <w:b w:val="0"/>
                <w:sz w:val="18"/>
                <w:szCs w:val="18"/>
              </w:rPr>
            </w:pPr>
            <w:r w:rsidRPr="002906BC">
              <w:rPr>
                <w:rFonts w:asciiTheme="majorBidi" w:hAnsiTheme="majorBidi" w:cstheme="majorBidi"/>
                <w:b w:val="0"/>
                <w:sz w:val="18"/>
                <w:szCs w:val="18"/>
              </w:rPr>
              <w:t>120</w:t>
            </w:r>
          </w:p>
        </w:tc>
      </w:tr>
    </w:tbl>
    <w:p w:rsidR="00607334" w:rsidRPr="002906BC" w:rsidRDefault="00FA139F"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w:t>
      </w:r>
      <w:r w:rsidR="00607334" w:rsidRPr="002906BC">
        <w:rPr>
          <w:rFonts w:asciiTheme="majorBidi" w:hAnsiTheme="majorBidi" w:cstheme="majorBidi"/>
          <w:sz w:val="24"/>
          <w:szCs w:val="24"/>
          <w:lang w:bidi="ar-IQ"/>
        </w:rPr>
        <w:t>In a PCR thermal cycler, the conventional PCR was carried out in 0.2-ml tubes (</w:t>
      </w:r>
      <w:proofErr w:type="spellStart"/>
      <w:r w:rsidR="00607334" w:rsidRPr="002906BC">
        <w:rPr>
          <w:rFonts w:asciiTheme="majorBidi" w:hAnsiTheme="majorBidi" w:cstheme="majorBidi"/>
          <w:sz w:val="24"/>
          <w:szCs w:val="24"/>
          <w:lang w:bidi="ar-IQ"/>
        </w:rPr>
        <w:t>Hybaid</w:t>
      </w:r>
      <w:proofErr w:type="spellEnd"/>
      <w:r w:rsidR="00607334" w:rsidRPr="002906BC">
        <w:rPr>
          <w:rFonts w:asciiTheme="majorBidi" w:hAnsiTheme="majorBidi" w:cstheme="majorBidi"/>
          <w:sz w:val="24"/>
          <w:szCs w:val="24"/>
          <w:lang w:bidi="ar-IQ"/>
        </w:rPr>
        <w:t xml:space="preserve">, </w:t>
      </w:r>
      <w:proofErr w:type="spellStart"/>
      <w:r w:rsidR="00607334" w:rsidRPr="002906BC">
        <w:rPr>
          <w:rFonts w:asciiTheme="majorBidi" w:hAnsiTheme="majorBidi" w:cstheme="majorBidi"/>
          <w:sz w:val="24"/>
          <w:szCs w:val="24"/>
          <w:lang w:bidi="ar-IQ"/>
        </w:rPr>
        <w:t>Teddington</w:t>
      </w:r>
      <w:proofErr w:type="spellEnd"/>
      <w:r w:rsidR="00607334" w:rsidRPr="002906BC">
        <w:rPr>
          <w:rFonts w:asciiTheme="majorBidi" w:hAnsiTheme="majorBidi" w:cstheme="majorBidi"/>
          <w:sz w:val="24"/>
          <w:szCs w:val="24"/>
          <w:lang w:bidi="ar-IQ"/>
        </w:rPr>
        <w:t xml:space="preserve">, United Kingdom). The reaction mixture (50 µl) included reaction buffer (10 </w:t>
      </w:r>
      <w:proofErr w:type="spellStart"/>
      <w:r w:rsidR="00607334" w:rsidRPr="002906BC">
        <w:rPr>
          <w:rFonts w:asciiTheme="majorBidi" w:hAnsiTheme="majorBidi" w:cstheme="majorBidi"/>
          <w:sz w:val="24"/>
          <w:szCs w:val="24"/>
          <w:lang w:bidi="ar-IQ"/>
        </w:rPr>
        <w:t>mM</w:t>
      </w:r>
      <w:proofErr w:type="spellEnd"/>
      <w:r w:rsidR="00607334" w:rsidRPr="002906BC">
        <w:rPr>
          <w:rFonts w:asciiTheme="majorBidi" w:hAnsiTheme="majorBidi" w:cstheme="majorBidi"/>
          <w:sz w:val="24"/>
          <w:szCs w:val="24"/>
          <w:lang w:bidi="ar-IQ"/>
        </w:rPr>
        <w:t xml:space="preserve"> </w:t>
      </w:r>
      <w:proofErr w:type="spellStart"/>
      <w:r w:rsidR="00607334" w:rsidRPr="002906BC">
        <w:rPr>
          <w:rFonts w:asciiTheme="majorBidi" w:hAnsiTheme="majorBidi" w:cstheme="majorBidi"/>
          <w:sz w:val="24"/>
          <w:szCs w:val="24"/>
          <w:lang w:bidi="ar-IQ"/>
        </w:rPr>
        <w:t>Tris-HCl</w:t>
      </w:r>
      <w:proofErr w:type="spellEnd"/>
      <w:r w:rsidR="00607334" w:rsidRPr="002906BC">
        <w:rPr>
          <w:rFonts w:asciiTheme="majorBidi" w:hAnsiTheme="majorBidi" w:cstheme="majorBidi"/>
          <w:sz w:val="24"/>
          <w:szCs w:val="24"/>
          <w:lang w:bidi="ar-IQ"/>
        </w:rPr>
        <w:t xml:space="preserve">, 2.5 </w:t>
      </w:r>
      <w:proofErr w:type="spellStart"/>
      <w:r w:rsidR="00607334" w:rsidRPr="002906BC">
        <w:rPr>
          <w:rFonts w:asciiTheme="majorBidi" w:hAnsiTheme="majorBidi" w:cstheme="majorBidi"/>
          <w:sz w:val="24"/>
          <w:szCs w:val="24"/>
          <w:lang w:bidi="ar-IQ"/>
        </w:rPr>
        <w:t>mM</w:t>
      </w:r>
      <w:proofErr w:type="spellEnd"/>
      <w:r w:rsidR="00607334" w:rsidRPr="002906BC">
        <w:rPr>
          <w:rFonts w:asciiTheme="majorBidi" w:hAnsiTheme="majorBidi" w:cstheme="majorBidi"/>
          <w:sz w:val="24"/>
          <w:szCs w:val="24"/>
          <w:lang w:bidi="ar-IQ"/>
        </w:rPr>
        <w:t xml:space="preserve"> MgCl2, and 50 </w:t>
      </w:r>
      <w:proofErr w:type="spellStart"/>
      <w:r w:rsidR="00607334" w:rsidRPr="002906BC">
        <w:rPr>
          <w:rFonts w:asciiTheme="majorBidi" w:hAnsiTheme="majorBidi" w:cstheme="majorBidi"/>
          <w:sz w:val="24"/>
          <w:szCs w:val="24"/>
          <w:lang w:bidi="ar-IQ"/>
        </w:rPr>
        <w:t>mM</w:t>
      </w:r>
      <w:proofErr w:type="spellEnd"/>
      <w:r w:rsidR="00607334" w:rsidRPr="002906BC">
        <w:rPr>
          <w:rFonts w:asciiTheme="majorBidi" w:hAnsiTheme="majorBidi" w:cstheme="majorBidi"/>
          <w:sz w:val="24"/>
          <w:szCs w:val="24"/>
          <w:lang w:bidi="ar-IQ"/>
        </w:rPr>
        <w:t xml:space="preserve"> </w:t>
      </w:r>
      <w:proofErr w:type="spellStart"/>
      <w:r w:rsidR="00607334" w:rsidRPr="002906BC">
        <w:rPr>
          <w:rFonts w:asciiTheme="majorBidi" w:hAnsiTheme="majorBidi" w:cstheme="majorBidi"/>
          <w:sz w:val="24"/>
          <w:szCs w:val="24"/>
          <w:lang w:bidi="ar-IQ"/>
        </w:rPr>
        <w:t>KCl</w:t>
      </w:r>
      <w:proofErr w:type="spellEnd"/>
      <w:r w:rsidR="00607334" w:rsidRPr="002906BC">
        <w:rPr>
          <w:rFonts w:asciiTheme="majorBidi" w:hAnsiTheme="majorBidi" w:cstheme="majorBidi"/>
          <w:sz w:val="24"/>
          <w:szCs w:val="24"/>
          <w:lang w:bidi="ar-IQ"/>
        </w:rPr>
        <w:t xml:space="preserve"> [pH 8.3]), a 200 M concentration of each </w:t>
      </w:r>
      <w:proofErr w:type="spellStart"/>
      <w:r w:rsidR="00607334" w:rsidRPr="002906BC">
        <w:rPr>
          <w:rFonts w:asciiTheme="majorBidi" w:hAnsiTheme="majorBidi" w:cstheme="majorBidi"/>
          <w:sz w:val="24"/>
          <w:szCs w:val="24"/>
          <w:lang w:bidi="ar-IQ"/>
        </w:rPr>
        <w:t>deoxynucleoside</w:t>
      </w:r>
      <w:proofErr w:type="spellEnd"/>
      <w:r w:rsidR="00607334" w:rsidRPr="002906BC">
        <w:rPr>
          <w:rFonts w:asciiTheme="majorBidi" w:hAnsiTheme="majorBidi" w:cstheme="majorBidi"/>
          <w:sz w:val="24"/>
          <w:szCs w:val="24"/>
          <w:lang w:bidi="ar-IQ"/>
        </w:rPr>
        <w:t xml:space="preserve"> triphosphate, 20 </w:t>
      </w:r>
      <w:proofErr w:type="spellStart"/>
      <w:r w:rsidR="00607334" w:rsidRPr="002906BC">
        <w:rPr>
          <w:rFonts w:asciiTheme="majorBidi" w:hAnsiTheme="majorBidi" w:cstheme="majorBidi"/>
          <w:sz w:val="24"/>
          <w:szCs w:val="24"/>
          <w:lang w:bidi="ar-IQ"/>
        </w:rPr>
        <w:t>pmol</w:t>
      </w:r>
      <w:proofErr w:type="spellEnd"/>
      <w:r w:rsidR="00607334" w:rsidRPr="002906BC">
        <w:rPr>
          <w:rFonts w:asciiTheme="majorBidi" w:hAnsiTheme="majorBidi" w:cstheme="majorBidi"/>
          <w:sz w:val="24"/>
          <w:szCs w:val="24"/>
          <w:lang w:bidi="ar-IQ"/>
        </w:rPr>
        <w:t xml:space="preserve"> of each primer, 500 ng of blood DNA, and 2.5 U of </w:t>
      </w:r>
      <w:proofErr w:type="spellStart"/>
      <w:r w:rsidR="00607334" w:rsidRPr="002906BC">
        <w:rPr>
          <w:rFonts w:asciiTheme="majorBidi" w:hAnsiTheme="majorBidi" w:cstheme="majorBidi"/>
          <w:sz w:val="24"/>
          <w:szCs w:val="24"/>
          <w:lang w:bidi="ar-IQ"/>
        </w:rPr>
        <w:t>Taq</w:t>
      </w:r>
      <w:proofErr w:type="spellEnd"/>
      <w:r w:rsidR="00607334" w:rsidRPr="002906BC">
        <w:rPr>
          <w:rFonts w:asciiTheme="majorBidi" w:hAnsiTheme="majorBidi" w:cstheme="majorBidi"/>
          <w:sz w:val="24"/>
          <w:szCs w:val="24"/>
          <w:lang w:bidi="ar-IQ"/>
        </w:rPr>
        <w:t xml:space="preserve"> DNA polymerase for amplification of the target sequence from DNA extracted from blood (</w:t>
      </w:r>
      <w:proofErr w:type="spellStart"/>
      <w:r w:rsidR="00607334" w:rsidRPr="002906BC">
        <w:rPr>
          <w:rFonts w:asciiTheme="majorBidi" w:hAnsiTheme="majorBidi" w:cstheme="majorBidi"/>
          <w:sz w:val="24"/>
          <w:szCs w:val="24"/>
          <w:lang w:bidi="ar-IQ"/>
        </w:rPr>
        <w:t>Boehringer</w:t>
      </w:r>
      <w:proofErr w:type="spellEnd"/>
      <w:r w:rsidR="00607334" w:rsidRPr="002906BC">
        <w:rPr>
          <w:rFonts w:asciiTheme="majorBidi" w:hAnsiTheme="majorBidi" w:cstheme="majorBidi"/>
          <w:sz w:val="24"/>
          <w:szCs w:val="24"/>
          <w:lang w:bidi="ar-IQ"/>
        </w:rPr>
        <w:t xml:space="preserve"> Mannheim, Mannheim, Germany). The amplification program consisted of 94°C for 4 minutes, followed by 30 cycles of 94°C for 30 seconds, 56°C for 30 seconds, and 72°C for 60 seconds, followed by 72°C for 7 minutes.</w:t>
      </w:r>
    </w:p>
    <w:p w:rsidR="002452BE" w:rsidRPr="002906BC" w:rsidRDefault="002452BE" w:rsidP="00275B2E">
      <w:pPr>
        <w:bidi w:val="0"/>
        <w:jc w:val="both"/>
        <w:rPr>
          <w:rFonts w:asciiTheme="majorBidi" w:hAnsiTheme="majorBidi" w:cstheme="majorBidi"/>
          <w:b/>
          <w:bCs/>
          <w:sz w:val="24"/>
          <w:szCs w:val="24"/>
          <w:lang w:bidi="ar-IQ"/>
        </w:rPr>
      </w:pPr>
      <w:r w:rsidRPr="002906BC">
        <w:rPr>
          <w:rFonts w:asciiTheme="majorBidi" w:hAnsiTheme="majorBidi" w:cstheme="majorBidi"/>
          <w:b/>
          <w:bCs/>
          <w:sz w:val="24"/>
          <w:szCs w:val="24"/>
          <w:lang w:bidi="ar-IQ"/>
        </w:rPr>
        <w:t xml:space="preserve">Statistical analysis </w:t>
      </w:r>
    </w:p>
    <w:p w:rsidR="00275B2E" w:rsidRPr="002906BC" w:rsidRDefault="002452BE" w:rsidP="002906BC">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The results of continuous measurements with average SD (minimum-maximum) and batch measurement outputs (</w:t>
      </w:r>
      <w:r w:rsidRPr="002906BC">
        <w:rPr>
          <w:rFonts w:asciiTheme="majorBidi" w:hAnsiTheme="majorBidi" w:cstheme="majorBidi"/>
          <w:sz w:val="24"/>
          <w:szCs w:val="24"/>
          <w:rtl/>
          <w:lang w:bidi="ar-IQ"/>
        </w:rPr>
        <w:t>٪</w:t>
      </w:r>
      <w:r w:rsidRPr="002906BC">
        <w:rPr>
          <w:rFonts w:asciiTheme="majorBidi" w:hAnsiTheme="majorBidi" w:cstheme="majorBidi"/>
          <w:sz w:val="24"/>
          <w:szCs w:val="24"/>
          <w:lang w:bidi="ar-IQ"/>
        </w:rPr>
        <w:t xml:space="preserve">) are presented. Significance was estimated at a </w:t>
      </w:r>
      <w:r w:rsidRPr="002906BC">
        <w:rPr>
          <w:rFonts w:asciiTheme="majorBidi" w:hAnsiTheme="majorBidi" w:cstheme="majorBidi"/>
          <w:sz w:val="24"/>
          <w:szCs w:val="24"/>
          <w:lang w:bidi="ar-IQ"/>
        </w:rPr>
        <w:lastRenderedPageBreak/>
        <w:t xml:space="preserve">significance level of 5% and in order to achieve the importance of continuous study factors between the two groups - group analysis between groups) on the metric parameters of the student "t" test was used and finally the Chi Square test. </w:t>
      </w:r>
    </w:p>
    <w:p w:rsidR="00275B2E" w:rsidRPr="002906BC" w:rsidRDefault="00275B2E" w:rsidP="00275B2E">
      <w:pPr>
        <w:bidi w:val="0"/>
        <w:jc w:val="both"/>
        <w:rPr>
          <w:rFonts w:asciiTheme="majorBidi" w:hAnsiTheme="majorBidi" w:cstheme="majorBidi"/>
          <w:sz w:val="24"/>
          <w:szCs w:val="24"/>
          <w:lang w:bidi="ar-IQ"/>
        </w:rPr>
      </w:pPr>
    </w:p>
    <w:p w:rsidR="002452BE" w:rsidRPr="002906BC" w:rsidRDefault="002452BE" w:rsidP="00275B2E">
      <w:pPr>
        <w:bidi w:val="0"/>
        <w:jc w:val="both"/>
        <w:rPr>
          <w:rFonts w:asciiTheme="majorBidi" w:hAnsiTheme="majorBidi" w:cstheme="majorBidi"/>
          <w:b/>
          <w:bCs/>
          <w:sz w:val="24"/>
          <w:szCs w:val="24"/>
          <w:lang w:bidi="ar-IQ"/>
        </w:rPr>
      </w:pPr>
      <w:r w:rsidRPr="002906BC">
        <w:rPr>
          <w:rFonts w:asciiTheme="majorBidi" w:hAnsiTheme="majorBidi" w:cstheme="majorBidi"/>
          <w:b/>
          <w:bCs/>
          <w:sz w:val="24"/>
          <w:szCs w:val="24"/>
          <w:lang w:bidi="ar-IQ"/>
        </w:rPr>
        <w:t xml:space="preserve">Results and Discussion </w:t>
      </w:r>
    </w:p>
    <w:p w:rsidR="00586289" w:rsidRPr="002906BC" w:rsidRDefault="00586289"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Characteristics of Patients</w:t>
      </w:r>
    </w:p>
    <w:p w:rsidR="002A1584" w:rsidRPr="002906BC" w:rsidRDefault="00A628EA" w:rsidP="00743FDE">
      <w:pPr>
        <w:bidi w:val="0"/>
        <w:jc w:val="both"/>
        <w:rPr>
          <w:rFonts w:asciiTheme="majorBidi" w:hAnsiTheme="majorBidi" w:cstheme="majorBidi"/>
          <w:sz w:val="24"/>
          <w:szCs w:val="24"/>
        </w:rPr>
      </w:pPr>
      <w:r w:rsidRPr="002906BC">
        <w:rPr>
          <w:rFonts w:asciiTheme="majorBidi" w:hAnsiTheme="majorBidi" w:cstheme="majorBidi"/>
          <w:sz w:val="24"/>
          <w:szCs w:val="24"/>
          <w:lang w:bidi="ar-IQ"/>
        </w:rPr>
        <w:t xml:space="preserve">     </w:t>
      </w:r>
      <w:r w:rsidR="00586289" w:rsidRPr="002906BC">
        <w:rPr>
          <w:rFonts w:asciiTheme="majorBidi" w:hAnsiTheme="majorBidi" w:cstheme="majorBidi"/>
          <w:sz w:val="24"/>
          <w:szCs w:val="24"/>
          <w:lang w:bidi="ar-IQ"/>
        </w:rPr>
        <w:t xml:space="preserve">The CTLA-4 gene polymorphisms +49A/G (rs231775) were genotyped in 60 patients with Diabetic </w:t>
      </w:r>
      <w:r w:rsidR="002C1718" w:rsidRPr="002906BC">
        <w:rPr>
          <w:rFonts w:asciiTheme="majorBidi" w:hAnsiTheme="majorBidi" w:cstheme="majorBidi"/>
          <w:sz w:val="24"/>
          <w:szCs w:val="24"/>
          <w:lang w:bidi="ar-IQ"/>
        </w:rPr>
        <w:t>mellitus in</w:t>
      </w:r>
      <w:r w:rsidR="00586289" w:rsidRPr="002906BC">
        <w:rPr>
          <w:rFonts w:asciiTheme="majorBidi" w:hAnsiTheme="majorBidi" w:cstheme="majorBidi"/>
          <w:sz w:val="24"/>
          <w:szCs w:val="24"/>
          <w:lang w:bidi="ar-IQ"/>
        </w:rPr>
        <w:t xml:space="preserve"> this investigation. The case group (50 % </w:t>
      </w:r>
      <w:r w:rsidR="002C1718" w:rsidRPr="002906BC">
        <w:rPr>
          <w:rFonts w:asciiTheme="majorBidi" w:hAnsiTheme="majorBidi" w:cstheme="majorBidi"/>
          <w:sz w:val="24"/>
          <w:szCs w:val="24"/>
          <w:lang w:bidi="ar-IQ"/>
        </w:rPr>
        <w:t xml:space="preserve">both male and </w:t>
      </w:r>
      <w:r w:rsidR="00586289" w:rsidRPr="002906BC">
        <w:rPr>
          <w:rFonts w:asciiTheme="majorBidi" w:hAnsiTheme="majorBidi" w:cstheme="majorBidi"/>
          <w:sz w:val="24"/>
          <w:szCs w:val="24"/>
          <w:lang w:bidi="ar-IQ"/>
        </w:rPr>
        <w:t xml:space="preserve">females) had a mean age of </w:t>
      </w:r>
      <w:r w:rsidR="002C1718" w:rsidRPr="002906BC">
        <w:rPr>
          <w:rFonts w:asciiTheme="majorBidi" w:hAnsiTheme="majorBidi" w:cstheme="majorBidi"/>
          <w:sz w:val="24"/>
          <w:szCs w:val="24"/>
          <w:lang w:bidi="ar-IQ"/>
        </w:rPr>
        <w:t xml:space="preserve">9.83±2.76 </w:t>
      </w:r>
      <w:r w:rsidR="00586289" w:rsidRPr="002906BC">
        <w:rPr>
          <w:rFonts w:asciiTheme="majorBidi" w:hAnsiTheme="majorBidi" w:cstheme="majorBidi"/>
          <w:sz w:val="24"/>
          <w:szCs w:val="24"/>
          <w:lang w:bidi="ar-IQ"/>
        </w:rPr>
        <w:t>years, while the control group (</w:t>
      </w:r>
      <w:r w:rsidR="002C1718" w:rsidRPr="002906BC">
        <w:rPr>
          <w:rFonts w:asciiTheme="majorBidi" w:hAnsiTheme="majorBidi" w:cstheme="majorBidi"/>
          <w:sz w:val="24"/>
          <w:szCs w:val="24"/>
          <w:lang w:bidi="ar-IQ"/>
        </w:rPr>
        <w:t>50 % both male and females</w:t>
      </w:r>
      <w:r w:rsidR="00586289" w:rsidRPr="002906BC">
        <w:rPr>
          <w:rFonts w:asciiTheme="majorBidi" w:hAnsiTheme="majorBidi" w:cstheme="majorBidi"/>
          <w:sz w:val="24"/>
          <w:szCs w:val="24"/>
          <w:lang w:bidi="ar-IQ"/>
        </w:rPr>
        <w:t xml:space="preserve">) had a mean age of </w:t>
      </w:r>
      <w:r w:rsidR="002C1718" w:rsidRPr="002906BC">
        <w:rPr>
          <w:rFonts w:asciiTheme="majorBidi" w:hAnsiTheme="majorBidi" w:cstheme="majorBidi"/>
          <w:sz w:val="24"/>
          <w:szCs w:val="24"/>
          <w:lang w:bidi="ar-IQ"/>
        </w:rPr>
        <w:t>10.35</w:t>
      </w:r>
      <w:r w:rsidR="002C1718" w:rsidRPr="002906BC">
        <w:rPr>
          <w:rFonts w:asciiTheme="majorBidi" w:hAnsiTheme="majorBidi" w:cstheme="majorBidi"/>
          <w:sz w:val="24"/>
          <w:szCs w:val="24"/>
        </w:rPr>
        <w:t>±2.6</w:t>
      </w:r>
      <w:r w:rsidR="002C1718" w:rsidRPr="002906BC">
        <w:rPr>
          <w:rFonts w:asciiTheme="majorBidi" w:hAnsiTheme="majorBidi" w:cstheme="majorBidi"/>
          <w:sz w:val="24"/>
          <w:szCs w:val="24"/>
          <w:lang w:bidi="ar-IQ"/>
        </w:rPr>
        <w:t>, The results of the study showed that there were no significant differences in blood measurements for each of the patients when compared with the control ones in</w:t>
      </w:r>
      <w:r w:rsidR="00586289" w:rsidRPr="002906BC">
        <w:rPr>
          <w:rFonts w:asciiTheme="majorBidi" w:hAnsiTheme="majorBidi" w:cstheme="majorBidi"/>
          <w:sz w:val="24"/>
          <w:szCs w:val="24"/>
          <w:lang w:bidi="ar-IQ"/>
        </w:rPr>
        <w:t xml:space="preserve"> </w:t>
      </w:r>
      <w:r w:rsidR="002C1718" w:rsidRPr="002906BC">
        <w:rPr>
          <w:rFonts w:asciiTheme="majorBidi" w:hAnsiTheme="majorBidi" w:cstheme="majorBidi"/>
          <w:sz w:val="24"/>
          <w:szCs w:val="24"/>
          <w:lang w:bidi="ar-IQ"/>
        </w:rPr>
        <w:t xml:space="preserve">the </w:t>
      </w:r>
      <w:r w:rsidR="002C1718" w:rsidRPr="002906BC">
        <w:rPr>
          <w:rFonts w:asciiTheme="majorBidi" w:hAnsiTheme="majorBidi" w:cstheme="majorBidi"/>
          <w:sz w:val="24"/>
          <w:szCs w:val="24"/>
        </w:rPr>
        <w:t>Triglycerides (mg/dl), VLDL (mg/dl) and LDL (mg/dl)</w:t>
      </w:r>
      <w:r w:rsidR="002A1584" w:rsidRPr="002906BC">
        <w:rPr>
          <w:rFonts w:asciiTheme="majorBidi" w:hAnsiTheme="majorBidi" w:cstheme="majorBidi"/>
          <w:sz w:val="24"/>
          <w:szCs w:val="24"/>
        </w:rPr>
        <w:t xml:space="preserve">, except Triglycerides (mg/dl)  and HDL (mg/dl). Cholesterol levels in </w:t>
      </w:r>
      <w:r w:rsidR="00743FDE">
        <w:rPr>
          <w:rFonts w:asciiTheme="majorBidi" w:hAnsiTheme="majorBidi" w:cstheme="majorBidi"/>
          <w:sz w:val="24"/>
          <w:szCs w:val="24"/>
        </w:rPr>
        <w:t>children</w:t>
      </w:r>
      <w:r w:rsidR="002A1584" w:rsidRPr="002906BC">
        <w:rPr>
          <w:rFonts w:asciiTheme="majorBidi" w:hAnsiTheme="majorBidi" w:cstheme="majorBidi"/>
          <w:sz w:val="24"/>
          <w:szCs w:val="24"/>
        </w:rPr>
        <w:t xml:space="preserve"> are influenced by three major factors, a diet that is unhealthy, heavy in fats</w:t>
      </w:r>
      <w:r w:rsidR="00743FDE">
        <w:rPr>
          <w:rFonts w:asciiTheme="majorBidi" w:hAnsiTheme="majorBidi" w:cstheme="majorBidi"/>
          <w:sz w:val="24"/>
          <w:szCs w:val="24"/>
        </w:rPr>
        <w:t xml:space="preserve"> obesity and</w:t>
      </w:r>
      <w:r w:rsidR="002A1584" w:rsidRPr="002906BC">
        <w:rPr>
          <w:rFonts w:asciiTheme="majorBidi" w:hAnsiTheme="majorBidi" w:cstheme="majorBidi"/>
          <w:sz w:val="24"/>
          <w:szCs w:val="24"/>
        </w:rPr>
        <w:t xml:space="preserve"> family history of high cholesterol, especially if one or both parents have high cholesterol, table 3</w:t>
      </w:r>
      <w:r w:rsidR="00743FDE">
        <w:rPr>
          <w:rFonts w:asciiTheme="majorBidi" w:hAnsiTheme="majorBidi" w:cstheme="majorBidi"/>
          <w:sz w:val="24"/>
          <w:szCs w:val="24"/>
        </w:rPr>
        <w:t>, these result were agreement with (</w:t>
      </w:r>
      <w:proofErr w:type="spellStart"/>
      <w:r w:rsidR="00743FDE" w:rsidRPr="00743FDE">
        <w:rPr>
          <w:rFonts w:asciiTheme="majorBidi" w:hAnsiTheme="majorBidi" w:cstheme="majorBidi"/>
          <w:sz w:val="24"/>
          <w:szCs w:val="24"/>
          <w:lang w:bidi="ar-IQ"/>
        </w:rPr>
        <w:t>Quijada</w:t>
      </w:r>
      <w:proofErr w:type="spellEnd"/>
      <w:r w:rsidR="00743FDE">
        <w:rPr>
          <w:rFonts w:asciiTheme="majorBidi" w:hAnsiTheme="majorBidi" w:cstheme="majorBidi"/>
          <w:sz w:val="24"/>
          <w:szCs w:val="24"/>
          <w:lang w:bidi="ar-IQ"/>
        </w:rPr>
        <w:t xml:space="preserve"> et al., 2008</w:t>
      </w:r>
      <w:r w:rsidR="00743FDE">
        <w:rPr>
          <w:rFonts w:asciiTheme="majorBidi" w:hAnsiTheme="majorBidi" w:cstheme="majorBidi"/>
          <w:sz w:val="24"/>
          <w:szCs w:val="24"/>
        </w:rPr>
        <w:t xml:space="preserve">) who was found </w:t>
      </w:r>
      <w:r w:rsidR="00743FDE" w:rsidRPr="00743FDE">
        <w:rPr>
          <w:rFonts w:asciiTheme="majorBidi" w:hAnsiTheme="majorBidi" w:cstheme="majorBidi"/>
          <w:sz w:val="24"/>
          <w:szCs w:val="24"/>
        </w:rPr>
        <w:t>Childhood obesity raises the risk of cardiovascular disease</w:t>
      </w:r>
      <w:r w:rsidR="00743FDE">
        <w:rPr>
          <w:rFonts w:asciiTheme="majorBidi" w:hAnsiTheme="majorBidi" w:cstheme="majorBidi"/>
          <w:sz w:val="24"/>
          <w:szCs w:val="24"/>
        </w:rPr>
        <w:t>, and t</w:t>
      </w:r>
      <w:r w:rsidR="00743FDE" w:rsidRPr="00743FDE">
        <w:rPr>
          <w:rFonts w:asciiTheme="majorBidi" w:hAnsiTheme="majorBidi" w:cstheme="majorBidi"/>
          <w:sz w:val="24"/>
          <w:szCs w:val="24"/>
        </w:rPr>
        <w:t xml:space="preserve">he </w:t>
      </w:r>
      <w:proofErr w:type="spellStart"/>
      <w:r w:rsidR="00743FDE" w:rsidRPr="00743FDE">
        <w:rPr>
          <w:rFonts w:asciiTheme="majorBidi" w:hAnsiTheme="majorBidi" w:cstheme="majorBidi"/>
          <w:sz w:val="24"/>
          <w:szCs w:val="24"/>
        </w:rPr>
        <w:t>Tg</w:t>
      </w:r>
      <w:proofErr w:type="spellEnd"/>
      <w:r w:rsidR="00743FDE" w:rsidRPr="00743FDE">
        <w:rPr>
          <w:rFonts w:asciiTheme="majorBidi" w:hAnsiTheme="majorBidi" w:cstheme="majorBidi"/>
          <w:sz w:val="24"/>
          <w:szCs w:val="24"/>
        </w:rPr>
        <w:t xml:space="preserve">/HDL-C ratio may be a valuable indicator for children at risk of dyslipidemia, hypertension, and </w:t>
      </w:r>
      <w:r w:rsidR="00743FDE">
        <w:rPr>
          <w:rFonts w:asciiTheme="majorBidi" w:hAnsiTheme="majorBidi" w:cstheme="majorBidi"/>
          <w:sz w:val="24"/>
          <w:szCs w:val="24"/>
        </w:rPr>
        <w:t>Metabolic syndrome</w:t>
      </w:r>
      <w:r w:rsidR="00743FDE" w:rsidRPr="00743FDE">
        <w:rPr>
          <w:rFonts w:asciiTheme="majorBidi" w:hAnsiTheme="majorBidi" w:cstheme="majorBidi"/>
          <w:sz w:val="24"/>
          <w:szCs w:val="24"/>
        </w:rPr>
        <w:t>.</w:t>
      </w:r>
      <w:r w:rsidR="002C1718" w:rsidRPr="002906BC">
        <w:rPr>
          <w:rFonts w:asciiTheme="majorBidi" w:hAnsiTheme="majorBidi" w:cstheme="majorBidi"/>
          <w:sz w:val="24"/>
          <w:szCs w:val="24"/>
        </w:rPr>
        <w:t xml:space="preserve"> </w:t>
      </w:r>
    </w:p>
    <w:p w:rsidR="002C1718" w:rsidRPr="002906BC" w:rsidRDefault="002A1584"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rPr>
        <w:t>Table 3: Biochemical characteristics of Lipid profile among study subjects</w:t>
      </w:r>
      <w:r w:rsidR="002C1718" w:rsidRPr="002906BC">
        <w:rPr>
          <w:rFonts w:asciiTheme="majorBidi" w:hAnsiTheme="majorBidi" w:cstheme="majorBidi"/>
          <w:sz w:val="24"/>
          <w:szCs w:val="24"/>
        </w:rPr>
        <w:t xml:space="preserve"> </w:t>
      </w:r>
    </w:p>
    <w:tbl>
      <w:tblPr>
        <w:tblStyle w:val="MediumShading2-Accent1"/>
        <w:bidiVisual/>
        <w:tblW w:w="0" w:type="auto"/>
        <w:tblLook w:val="04A0" w:firstRow="1" w:lastRow="0" w:firstColumn="1" w:lastColumn="0" w:noHBand="0" w:noVBand="1"/>
      </w:tblPr>
      <w:tblGrid>
        <w:gridCol w:w="1342"/>
        <w:gridCol w:w="2112"/>
        <w:gridCol w:w="2208"/>
        <w:gridCol w:w="2672"/>
      </w:tblGrid>
      <w:tr w:rsidR="002C1718" w:rsidRPr="002906BC" w:rsidTr="00275B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2" w:type="dxa"/>
          </w:tcPr>
          <w:p w:rsidR="002C1718" w:rsidRPr="002906BC" w:rsidRDefault="002C1718" w:rsidP="00275B2E">
            <w:pPr>
              <w:tabs>
                <w:tab w:val="center" w:pos="617"/>
              </w:tabs>
              <w:spacing w:line="276" w:lineRule="auto"/>
              <w:rPr>
                <w:rFonts w:asciiTheme="majorBidi" w:hAnsiTheme="majorBidi" w:cstheme="majorBidi"/>
                <w:sz w:val="24"/>
                <w:szCs w:val="24"/>
                <w:lang w:bidi="ar-IQ"/>
              </w:rPr>
            </w:pPr>
            <w:r w:rsidRPr="002906BC">
              <w:rPr>
                <w:rFonts w:asciiTheme="majorBidi" w:hAnsiTheme="majorBidi" w:cstheme="majorBidi"/>
                <w:sz w:val="24"/>
                <w:szCs w:val="24"/>
              </w:rPr>
              <w:tab/>
              <w:t>P value</w:t>
            </w:r>
          </w:p>
        </w:tc>
        <w:tc>
          <w:tcPr>
            <w:tcW w:w="2112" w:type="dxa"/>
          </w:tcPr>
          <w:p w:rsidR="002C1718" w:rsidRPr="002906BC" w:rsidRDefault="002C1718"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906BC">
              <w:rPr>
                <w:rFonts w:asciiTheme="majorBidi" w:hAnsiTheme="majorBidi" w:cstheme="majorBidi"/>
                <w:sz w:val="24"/>
                <w:szCs w:val="24"/>
              </w:rPr>
              <w:t>Patient subjects</w:t>
            </w:r>
          </w:p>
          <w:p w:rsidR="002C1718" w:rsidRPr="002906BC" w:rsidRDefault="002C1718"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2906BC">
              <w:rPr>
                <w:rFonts w:asciiTheme="majorBidi" w:hAnsiTheme="majorBidi" w:cstheme="majorBidi"/>
                <w:sz w:val="24"/>
                <w:szCs w:val="24"/>
                <w:lang w:bidi="ar-IQ"/>
              </w:rPr>
              <w:t xml:space="preserve">Mean </w:t>
            </w:r>
            <w:r w:rsidRPr="002906BC">
              <w:rPr>
                <w:rFonts w:asciiTheme="majorBidi" w:hAnsiTheme="majorBidi" w:cstheme="majorBidi"/>
                <w:sz w:val="24"/>
                <w:szCs w:val="24"/>
              </w:rPr>
              <w:t>±</w:t>
            </w:r>
            <w:r w:rsidRPr="002906BC">
              <w:rPr>
                <w:rFonts w:asciiTheme="majorBidi" w:hAnsiTheme="majorBidi" w:cstheme="majorBidi"/>
                <w:sz w:val="24"/>
                <w:szCs w:val="24"/>
                <w:lang w:bidi="ar-IQ"/>
              </w:rPr>
              <w:t>SD</w:t>
            </w:r>
          </w:p>
        </w:tc>
        <w:tc>
          <w:tcPr>
            <w:tcW w:w="2208" w:type="dxa"/>
          </w:tcPr>
          <w:p w:rsidR="002C1718" w:rsidRPr="002906BC" w:rsidRDefault="002C1718" w:rsidP="00275B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906BC">
              <w:rPr>
                <w:rFonts w:asciiTheme="majorBidi" w:hAnsiTheme="majorBidi" w:cstheme="majorBidi"/>
                <w:sz w:val="24"/>
                <w:szCs w:val="24"/>
              </w:rPr>
              <w:t>Control subjects</w:t>
            </w:r>
          </w:p>
          <w:p w:rsidR="002C1718" w:rsidRPr="002906BC" w:rsidRDefault="002C1718"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Mean </w:t>
            </w:r>
            <w:r w:rsidRPr="002906BC">
              <w:rPr>
                <w:rFonts w:asciiTheme="majorBidi" w:hAnsiTheme="majorBidi" w:cstheme="majorBidi"/>
                <w:sz w:val="24"/>
                <w:szCs w:val="24"/>
              </w:rPr>
              <w:t>±</w:t>
            </w:r>
            <w:r w:rsidRPr="002906BC">
              <w:rPr>
                <w:rFonts w:asciiTheme="majorBidi" w:hAnsiTheme="majorBidi" w:cstheme="majorBidi"/>
                <w:sz w:val="24"/>
                <w:szCs w:val="24"/>
                <w:lang w:bidi="ar-IQ"/>
              </w:rPr>
              <w:t>SD</w:t>
            </w:r>
          </w:p>
        </w:tc>
        <w:tc>
          <w:tcPr>
            <w:tcW w:w="2672" w:type="dxa"/>
          </w:tcPr>
          <w:p w:rsidR="002C1718" w:rsidRPr="002906BC" w:rsidRDefault="002C1718"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bidi="ar-IQ"/>
              </w:rPr>
            </w:pPr>
            <w:r w:rsidRPr="002906BC">
              <w:rPr>
                <w:rFonts w:asciiTheme="majorBidi" w:hAnsiTheme="majorBidi" w:cstheme="majorBidi"/>
                <w:sz w:val="24"/>
                <w:szCs w:val="24"/>
                <w:lang w:bidi="ar-IQ"/>
              </w:rPr>
              <w:t>Parameter</w:t>
            </w:r>
          </w:p>
        </w:tc>
      </w:tr>
      <w:tr w:rsidR="002C1718" w:rsidRPr="002906BC" w:rsidTr="00275B2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42" w:type="dxa"/>
          </w:tcPr>
          <w:p w:rsidR="002C1718" w:rsidRPr="002906BC" w:rsidRDefault="002C1718"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lang w:bidi="ar-IQ"/>
              </w:rPr>
              <w:t>-</w:t>
            </w:r>
          </w:p>
        </w:tc>
        <w:tc>
          <w:tcPr>
            <w:tcW w:w="2112" w:type="dxa"/>
          </w:tcPr>
          <w:p w:rsidR="002C1718" w:rsidRPr="002906BC" w:rsidRDefault="002C1718"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2906BC">
              <w:rPr>
                <w:rFonts w:asciiTheme="majorBidi" w:hAnsiTheme="majorBidi" w:cstheme="majorBidi"/>
                <w:sz w:val="24"/>
                <w:szCs w:val="24"/>
                <w:lang w:bidi="ar-IQ"/>
              </w:rPr>
              <w:t>60(30/30)</w:t>
            </w:r>
          </w:p>
        </w:tc>
        <w:tc>
          <w:tcPr>
            <w:tcW w:w="2208" w:type="dxa"/>
          </w:tcPr>
          <w:p w:rsidR="002C1718" w:rsidRPr="002906BC" w:rsidRDefault="002C1718"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40(20/20)</w:t>
            </w:r>
          </w:p>
        </w:tc>
        <w:tc>
          <w:tcPr>
            <w:tcW w:w="2672" w:type="dxa"/>
          </w:tcPr>
          <w:p w:rsidR="002C1718" w:rsidRPr="002906BC" w:rsidRDefault="002C1718" w:rsidP="00275B2E">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2906BC">
              <w:rPr>
                <w:rFonts w:asciiTheme="majorBidi" w:hAnsiTheme="majorBidi" w:cstheme="majorBidi"/>
                <w:sz w:val="24"/>
                <w:szCs w:val="24"/>
              </w:rPr>
              <w:t>No (M/F)</w:t>
            </w:r>
          </w:p>
        </w:tc>
      </w:tr>
      <w:tr w:rsidR="002C1718" w:rsidRPr="002906BC" w:rsidTr="00275B2E">
        <w:tc>
          <w:tcPr>
            <w:cnfStyle w:val="001000000000" w:firstRow="0" w:lastRow="0" w:firstColumn="1" w:lastColumn="0" w:oddVBand="0" w:evenVBand="0" w:oddHBand="0" w:evenHBand="0" w:firstRowFirstColumn="0" w:firstRowLastColumn="0" w:lastRowFirstColumn="0" w:lastRowLastColumn="0"/>
            <w:tcW w:w="1342" w:type="dxa"/>
          </w:tcPr>
          <w:p w:rsidR="002C1718" w:rsidRPr="002906BC" w:rsidRDefault="002C1718"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lang w:bidi="ar-IQ"/>
              </w:rPr>
              <w:t>0.56</w:t>
            </w:r>
          </w:p>
        </w:tc>
        <w:tc>
          <w:tcPr>
            <w:tcW w:w="2112" w:type="dxa"/>
          </w:tcPr>
          <w:p w:rsidR="002C1718" w:rsidRPr="002906BC" w:rsidRDefault="002C1718"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9.83</w:t>
            </w:r>
            <w:r w:rsidRPr="002906BC">
              <w:rPr>
                <w:rFonts w:asciiTheme="majorBidi" w:hAnsiTheme="majorBidi" w:cstheme="majorBidi"/>
                <w:sz w:val="24"/>
                <w:szCs w:val="24"/>
              </w:rPr>
              <w:t>±2.76</w:t>
            </w:r>
          </w:p>
        </w:tc>
        <w:tc>
          <w:tcPr>
            <w:tcW w:w="2208" w:type="dxa"/>
          </w:tcPr>
          <w:p w:rsidR="002C1718" w:rsidRPr="002906BC" w:rsidRDefault="002C1718"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10.35</w:t>
            </w:r>
            <w:r w:rsidRPr="002906BC">
              <w:rPr>
                <w:rFonts w:asciiTheme="majorBidi" w:hAnsiTheme="majorBidi" w:cstheme="majorBidi"/>
                <w:sz w:val="24"/>
                <w:szCs w:val="24"/>
              </w:rPr>
              <w:t>±2.6</w:t>
            </w:r>
          </w:p>
        </w:tc>
        <w:tc>
          <w:tcPr>
            <w:tcW w:w="2672" w:type="dxa"/>
          </w:tcPr>
          <w:p w:rsidR="002C1718" w:rsidRPr="002906BC" w:rsidRDefault="002C1718" w:rsidP="00275B2E">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2906BC">
              <w:rPr>
                <w:rFonts w:asciiTheme="majorBidi" w:hAnsiTheme="majorBidi" w:cstheme="majorBidi"/>
                <w:sz w:val="24"/>
                <w:szCs w:val="24"/>
              </w:rPr>
              <w:t>Age (y)</w:t>
            </w:r>
          </w:p>
        </w:tc>
      </w:tr>
      <w:tr w:rsidR="002C1718" w:rsidRPr="002906BC" w:rsidTr="0027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rsidR="002C1718" w:rsidRPr="002906BC" w:rsidRDefault="002C1718"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rtl/>
                <w:lang w:bidi="ar-IQ"/>
              </w:rPr>
              <w:t>0.41</w:t>
            </w:r>
          </w:p>
        </w:tc>
        <w:tc>
          <w:tcPr>
            <w:tcW w:w="2112" w:type="dxa"/>
          </w:tcPr>
          <w:p w:rsidR="002C1718" w:rsidRPr="002906BC" w:rsidRDefault="002C1718"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186.12</w:t>
            </w:r>
            <w:r w:rsidRPr="002906BC">
              <w:rPr>
                <w:rFonts w:asciiTheme="majorBidi" w:hAnsiTheme="majorBidi" w:cstheme="majorBidi"/>
                <w:sz w:val="24"/>
                <w:szCs w:val="24"/>
              </w:rPr>
              <w:t>±25.89</w:t>
            </w:r>
          </w:p>
        </w:tc>
        <w:tc>
          <w:tcPr>
            <w:tcW w:w="2208" w:type="dxa"/>
          </w:tcPr>
          <w:p w:rsidR="002C1718" w:rsidRPr="002906BC" w:rsidRDefault="002C1718"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bookmarkStart w:id="1" w:name="OLE_LINK1"/>
            <w:r w:rsidRPr="002906BC">
              <w:rPr>
                <w:rFonts w:asciiTheme="majorBidi" w:hAnsiTheme="majorBidi" w:cstheme="majorBidi"/>
                <w:sz w:val="24"/>
                <w:szCs w:val="24"/>
                <w:lang w:bidi="ar-IQ"/>
              </w:rPr>
              <w:t>168.71</w:t>
            </w:r>
            <w:bookmarkEnd w:id="1"/>
            <w:r w:rsidRPr="002906BC">
              <w:rPr>
                <w:rFonts w:asciiTheme="majorBidi" w:hAnsiTheme="majorBidi" w:cstheme="majorBidi"/>
                <w:sz w:val="24"/>
                <w:szCs w:val="24"/>
              </w:rPr>
              <w:t>±23.86</w:t>
            </w:r>
          </w:p>
        </w:tc>
        <w:tc>
          <w:tcPr>
            <w:tcW w:w="2672" w:type="dxa"/>
          </w:tcPr>
          <w:p w:rsidR="002C1718" w:rsidRPr="002906BC" w:rsidRDefault="002C1718" w:rsidP="00275B2E">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2906BC">
              <w:rPr>
                <w:rFonts w:asciiTheme="majorBidi" w:hAnsiTheme="majorBidi" w:cstheme="majorBidi"/>
                <w:sz w:val="24"/>
                <w:szCs w:val="24"/>
              </w:rPr>
              <w:t>Cholesterol (mg/dl)</w:t>
            </w:r>
          </w:p>
        </w:tc>
      </w:tr>
      <w:tr w:rsidR="002C1718" w:rsidRPr="002906BC" w:rsidTr="00275B2E">
        <w:tc>
          <w:tcPr>
            <w:cnfStyle w:val="001000000000" w:firstRow="0" w:lastRow="0" w:firstColumn="1" w:lastColumn="0" w:oddVBand="0" w:evenVBand="0" w:oddHBand="0" w:evenHBand="0" w:firstRowFirstColumn="0" w:firstRowLastColumn="0" w:lastRowFirstColumn="0" w:lastRowLastColumn="0"/>
            <w:tcW w:w="1342" w:type="dxa"/>
          </w:tcPr>
          <w:p w:rsidR="002C1718" w:rsidRPr="002906BC" w:rsidRDefault="002C1718"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lang w:bidi="ar-IQ"/>
              </w:rPr>
              <w:t>0.033</w:t>
            </w:r>
          </w:p>
        </w:tc>
        <w:tc>
          <w:tcPr>
            <w:tcW w:w="2112" w:type="dxa"/>
          </w:tcPr>
          <w:p w:rsidR="002C1718" w:rsidRPr="002906BC" w:rsidRDefault="002C1718"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124.39</w:t>
            </w:r>
            <w:r w:rsidRPr="002906BC">
              <w:rPr>
                <w:rFonts w:asciiTheme="majorBidi" w:hAnsiTheme="majorBidi" w:cstheme="majorBidi"/>
                <w:sz w:val="24"/>
                <w:szCs w:val="24"/>
              </w:rPr>
              <w:t>±27.82</w:t>
            </w:r>
          </w:p>
        </w:tc>
        <w:tc>
          <w:tcPr>
            <w:tcW w:w="2208" w:type="dxa"/>
          </w:tcPr>
          <w:p w:rsidR="002C1718" w:rsidRPr="002906BC" w:rsidRDefault="002C1718"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2906BC">
              <w:rPr>
                <w:rFonts w:asciiTheme="majorBidi" w:hAnsiTheme="majorBidi" w:cstheme="majorBidi"/>
                <w:sz w:val="24"/>
                <w:szCs w:val="24"/>
                <w:lang w:bidi="ar-IQ"/>
              </w:rPr>
              <w:t>116.78</w:t>
            </w:r>
            <w:r w:rsidRPr="002906BC">
              <w:rPr>
                <w:rFonts w:asciiTheme="majorBidi" w:hAnsiTheme="majorBidi" w:cstheme="majorBidi"/>
                <w:sz w:val="24"/>
                <w:szCs w:val="24"/>
              </w:rPr>
              <w:t>±34.73</w:t>
            </w:r>
          </w:p>
        </w:tc>
        <w:tc>
          <w:tcPr>
            <w:tcW w:w="2672" w:type="dxa"/>
          </w:tcPr>
          <w:p w:rsidR="002C1718" w:rsidRPr="002906BC" w:rsidRDefault="002C1718" w:rsidP="00275B2E">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2906BC">
              <w:rPr>
                <w:rFonts w:asciiTheme="majorBidi" w:hAnsiTheme="majorBidi" w:cstheme="majorBidi"/>
                <w:sz w:val="24"/>
                <w:szCs w:val="24"/>
              </w:rPr>
              <w:t>Triglycerides (mg/dl)</w:t>
            </w:r>
          </w:p>
        </w:tc>
      </w:tr>
      <w:tr w:rsidR="002C1718" w:rsidRPr="002906BC" w:rsidTr="0027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rsidR="002C1718" w:rsidRPr="002906BC" w:rsidRDefault="002C1718"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lang w:bidi="ar-IQ"/>
              </w:rPr>
              <w:t>0.231</w:t>
            </w:r>
          </w:p>
        </w:tc>
        <w:tc>
          <w:tcPr>
            <w:tcW w:w="2112" w:type="dxa"/>
          </w:tcPr>
          <w:p w:rsidR="002C1718" w:rsidRPr="002906BC" w:rsidRDefault="002C1718"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25</w:t>
            </w:r>
            <w:r w:rsidRPr="002906BC">
              <w:rPr>
                <w:rFonts w:asciiTheme="majorBidi" w:hAnsiTheme="majorBidi" w:cstheme="majorBidi"/>
                <w:sz w:val="24"/>
                <w:szCs w:val="24"/>
              </w:rPr>
              <w:t>.00±6.00</w:t>
            </w:r>
          </w:p>
        </w:tc>
        <w:tc>
          <w:tcPr>
            <w:tcW w:w="2208" w:type="dxa"/>
          </w:tcPr>
          <w:p w:rsidR="002C1718" w:rsidRPr="002906BC" w:rsidRDefault="002C1718"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24.00</w:t>
            </w:r>
            <w:r w:rsidRPr="002906BC">
              <w:rPr>
                <w:rFonts w:asciiTheme="majorBidi" w:hAnsiTheme="majorBidi" w:cstheme="majorBidi"/>
                <w:sz w:val="24"/>
                <w:szCs w:val="24"/>
              </w:rPr>
              <w:t>±7.54</w:t>
            </w:r>
          </w:p>
        </w:tc>
        <w:tc>
          <w:tcPr>
            <w:tcW w:w="2672" w:type="dxa"/>
          </w:tcPr>
          <w:p w:rsidR="002C1718" w:rsidRPr="002906BC" w:rsidRDefault="002C1718" w:rsidP="00275B2E">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2906BC">
              <w:rPr>
                <w:rFonts w:asciiTheme="majorBidi" w:hAnsiTheme="majorBidi" w:cstheme="majorBidi"/>
                <w:sz w:val="24"/>
                <w:szCs w:val="24"/>
              </w:rPr>
              <w:t>VLDL (mg/dl)</w:t>
            </w:r>
          </w:p>
        </w:tc>
      </w:tr>
      <w:tr w:rsidR="002C1718" w:rsidRPr="002906BC" w:rsidTr="00275B2E">
        <w:tc>
          <w:tcPr>
            <w:cnfStyle w:val="001000000000" w:firstRow="0" w:lastRow="0" w:firstColumn="1" w:lastColumn="0" w:oddVBand="0" w:evenVBand="0" w:oddHBand="0" w:evenHBand="0" w:firstRowFirstColumn="0" w:firstRowLastColumn="0" w:lastRowFirstColumn="0" w:lastRowLastColumn="0"/>
            <w:tcW w:w="1342" w:type="dxa"/>
          </w:tcPr>
          <w:p w:rsidR="002C1718" w:rsidRPr="002906BC" w:rsidRDefault="002C1718"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lang w:bidi="ar-IQ"/>
              </w:rPr>
              <w:t>0.21</w:t>
            </w:r>
          </w:p>
        </w:tc>
        <w:tc>
          <w:tcPr>
            <w:tcW w:w="2112" w:type="dxa"/>
          </w:tcPr>
          <w:p w:rsidR="002C1718" w:rsidRPr="002906BC" w:rsidRDefault="002C1718"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88.56</w:t>
            </w:r>
            <w:r w:rsidRPr="002906BC">
              <w:rPr>
                <w:rFonts w:asciiTheme="majorBidi" w:hAnsiTheme="majorBidi" w:cstheme="majorBidi"/>
                <w:sz w:val="24"/>
                <w:szCs w:val="24"/>
              </w:rPr>
              <w:t>±24.00</w:t>
            </w:r>
          </w:p>
        </w:tc>
        <w:tc>
          <w:tcPr>
            <w:tcW w:w="2208" w:type="dxa"/>
          </w:tcPr>
          <w:p w:rsidR="002C1718" w:rsidRPr="002906BC" w:rsidRDefault="002C1718"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92.67</w:t>
            </w:r>
            <w:r w:rsidRPr="002906BC">
              <w:rPr>
                <w:rFonts w:asciiTheme="majorBidi" w:hAnsiTheme="majorBidi" w:cstheme="majorBidi"/>
                <w:sz w:val="24"/>
                <w:szCs w:val="24"/>
              </w:rPr>
              <w:t>±25.91</w:t>
            </w:r>
          </w:p>
        </w:tc>
        <w:tc>
          <w:tcPr>
            <w:tcW w:w="2672" w:type="dxa"/>
          </w:tcPr>
          <w:p w:rsidR="002C1718" w:rsidRPr="002906BC" w:rsidRDefault="002C1718" w:rsidP="00275B2E">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2906BC">
              <w:rPr>
                <w:rFonts w:asciiTheme="majorBidi" w:hAnsiTheme="majorBidi" w:cstheme="majorBidi"/>
                <w:sz w:val="24"/>
                <w:szCs w:val="24"/>
              </w:rPr>
              <w:t>LDL (mg/dl)</w:t>
            </w:r>
          </w:p>
        </w:tc>
      </w:tr>
      <w:tr w:rsidR="002C1718" w:rsidRPr="002906BC" w:rsidTr="0027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rsidR="002C1718" w:rsidRPr="002906BC" w:rsidRDefault="002C1718"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lang w:bidi="ar-IQ"/>
              </w:rPr>
              <w:t>0.023</w:t>
            </w:r>
          </w:p>
        </w:tc>
        <w:tc>
          <w:tcPr>
            <w:tcW w:w="2112" w:type="dxa"/>
          </w:tcPr>
          <w:p w:rsidR="002C1718" w:rsidRPr="002906BC" w:rsidRDefault="002C1718"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53.72</w:t>
            </w:r>
            <w:r w:rsidRPr="002906BC">
              <w:rPr>
                <w:rFonts w:asciiTheme="majorBidi" w:hAnsiTheme="majorBidi" w:cstheme="majorBidi"/>
                <w:sz w:val="24"/>
                <w:szCs w:val="24"/>
              </w:rPr>
              <w:t>±9.55</w:t>
            </w:r>
          </w:p>
        </w:tc>
        <w:tc>
          <w:tcPr>
            <w:tcW w:w="2208" w:type="dxa"/>
          </w:tcPr>
          <w:p w:rsidR="002C1718" w:rsidRPr="002906BC" w:rsidRDefault="002C1718"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55.9</w:t>
            </w:r>
            <w:r w:rsidRPr="002906BC">
              <w:rPr>
                <w:rFonts w:asciiTheme="majorBidi" w:hAnsiTheme="majorBidi" w:cstheme="majorBidi"/>
                <w:sz w:val="24"/>
                <w:szCs w:val="24"/>
              </w:rPr>
              <w:t>4±15.17</w:t>
            </w:r>
          </w:p>
        </w:tc>
        <w:tc>
          <w:tcPr>
            <w:tcW w:w="2672" w:type="dxa"/>
          </w:tcPr>
          <w:p w:rsidR="002C1718" w:rsidRPr="002906BC" w:rsidRDefault="002C1718" w:rsidP="00275B2E">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906BC">
              <w:rPr>
                <w:rFonts w:asciiTheme="majorBidi" w:hAnsiTheme="majorBidi" w:cstheme="majorBidi"/>
                <w:sz w:val="24"/>
                <w:szCs w:val="24"/>
              </w:rPr>
              <w:t>HDL (mg/dl)</w:t>
            </w:r>
          </w:p>
        </w:tc>
      </w:tr>
    </w:tbl>
    <w:p w:rsidR="002A1584" w:rsidRPr="002906BC" w:rsidRDefault="00586289"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w:t>
      </w:r>
    </w:p>
    <w:p w:rsidR="00DC6A02" w:rsidRPr="002906BC" w:rsidRDefault="00A628EA"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w:t>
      </w:r>
      <w:r w:rsidR="002A1584" w:rsidRPr="002906BC">
        <w:rPr>
          <w:rFonts w:asciiTheme="majorBidi" w:hAnsiTheme="majorBidi" w:cstheme="majorBidi"/>
          <w:sz w:val="24"/>
          <w:szCs w:val="24"/>
          <w:lang w:bidi="ar-IQ"/>
        </w:rPr>
        <w:t xml:space="preserve">On the other hand, when comparing Type 1 diabetes </w:t>
      </w:r>
      <w:r w:rsidR="00091F42" w:rsidRPr="002906BC">
        <w:rPr>
          <w:rFonts w:asciiTheme="majorBidi" w:hAnsiTheme="majorBidi" w:cstheme="majorBidi"/>
          <w:sz w:val="24"/>
          <w:szCs w:val="24"/>
          <w:lang w:bidi="ar-IQ"/>
        </w:rPr>
        <w:t>mellitus children</w:t>
      </w:r>
      <w:r w:rsidR="002A1584" w:rsidRPr="002906BC">
        <w:rPr>
          <w:rFonts w:asciiTheme="majorBidi" w:hAnsiTheme="majorBidi" w:cstheme="majorBidi"/>
          <w:sz w:val="24"/>
          <w:szCs w:val="24"/>
          <w:lang w:bidi="ar-IQ"/>
        </w:rPr>
        <w:t xml:space="preserve"> with healthy </w:t>
      </w:r>
      <w:proofErr w:type="gramStart"/>
      <w:r w:rsidR="002A1584" w:rsidRPr="002906BC">
        <w:rPr>
          <w:rFonts w:asciiTheme="majorBidi" w:hAnsiTheme="majorBidi" w:cstheme="majorBidi"/>
          <w:sz w:val="24"/>
          <w:szCs w:val="24"/>
          <w:lang w:bidi="ar-IQ"/>
        </w:rPr>
        <w:t>groups  when</w:t>
      </w:r>
      <w:proofErr w:type="gramEnd"/>
      <w:r w:rsidR="002A1584" w:rsidRPr="002906BC">
        <w:rPr>
          <w:rFonts w:asciiTheme="majorBidi" w:hAnsiTheme="majorBidi" w:cstheme="majorBidi"/>
          <w:sz w:val="24"/>
          <w:szCs w:val="24"/>
          <w:lang w:bidi="ar-IQ"/>
        </w:rPr>
        <w:t xml:space="preserve"> analyzing </w:t>
      </w:r>
      <w:r w:rsidR="00091F42" w:rsidRPr="002906BC">
        <w:rPr>
          <w:rFonts w:asciiTheme="majorBidi" w:hAnsiTheme="majorBidi" w:cstheme="majorBidi"/>
          <w:sz w:val="24"/>
          <w:szCs w:val="24"/>
          <w:lang w:bidi="ar-IQ"/>
        </w:rPr>
        <w:t>glycemic parameters</w:t>
      </w:r>
      <w:r w:rsidR="002A1584" w:rsidRPr="002906BC">
        <w:rPr>
          <w:rFonts w:asciiTheme="majorBidi" w:hAnsiTheme="majorBidi" w:cstheme="majorBidi"/>
          <w:sz w:val="24"/>
          <w:szCs w:val="24"/>
          <w:lang w:bidi="ar-IQ"/>
        </w:rPr>
        <w:t>, we found that there were no significant differences in each of the</w:t>
      </w:r>
      <w:r w:rsidR="00091F42" w:rsidRPr="002906BC">
        <w:rPr>
          <w:rFonts w:asciiTheme="majorBidi" w:hAnsiTheme="majorBidi" w:cstheme="majorBidi"/>
          <w:sz w:val="24"/>
          <w:szCs w:val="24"/>
          <w:lang w:bidi="ar-IQ"/>
        </w:rPr>
        <w:t xml:space="preserve"> HOMA-IR and </w:t>
      </w:r>
      <w:r w:rsidR="00091F42" w:rsidRPr="002906BC">
        <w:rPr>
          <w:rFonts w:asciiTheme="majorBidi" w:hAnsiTheme="majorBidi" w:cstheme="majorBidi"/>
          <w:sz w:val="24"/>
          <w:szCs w:val="24"/>
        </w:rPr>
        <w:t xml:space="preserve">glucose (mg/dl), we also found significant differences between the two groups for each HbA1C and Insulin </w:t>
      </w:r>
      <w:r w:rsidR="003A6DA8">
        <w:rPr>
          <w:rFonts w:asciiTheme="majorBidi" w:hAnsiTheme="majorBidi" w:cstheme="majorBidi"/>
          <w:sz w:val="24"/>
          <w:szCs w:val="24"/>
        </w:rPr>
        <w:t xml:space="preserve">levels </w:t>
      </w:r>
      <w:r w:rsidR="00091F42" w:rsidRPr="002906BC">
        <w:rPr>
          <w:rFonts w:asciiTheme="majorBidi" w:hAnsiTheme="majorBidi" w:cstheme="majorBidi"/>
          <w:sz w:val="24"/>
          <w:szCs w:val="24"/>
        </w:rPr>
        <w:t>(</w:t>
      </w:r>
      <w:proofErr w:type="spellStart"/>
      <w:r w:rsidR="00091F42" w:rsidRPr="002906BC">
        <w:rPr>
          <w:rFonts w:asciiTheme="majorBidi" w:hAnsiTheme="majorBidi" w:cstheme="majorBidi"/>
          <w:sz w:val="24"/>
          <w:szCs w:val="24"/>
        </w:rPr>
        <w:t>Pmol</w:t>
      </w:r>
      <w:proofErr w:type="spellEnd"/>
      <w:r w:rsidR="00091F42" w:rsidRPr="002906BC">
        <w:rPr>
          <w:rFonts w:asciiTheme="majorBidi" w:hAnsiTheme="majorBidi" w:cstheme="majorBidi"/>
          <w:sz w:val="24"/>
          <w:szCs w:val="24"/>
        </w:rPr>
        <w:t>/dl).</w:t>
      </w:r>
      <w:r w:rsidR="003A6DA8">
        <w:rPr>
          <w:rFonts w:asciiTheme="majorBidi" w:hAnsiTheme="majorBidi" w:cstheme="majorBidi"/>
          <w:sz w:val="24"/>
          <w:szCs w:val="24"/>
        </w:rPr>
        <w:t xml:space="preserve"> This result was agreement with (</w:t>
      </w:r>
      <w:proofErr w:type="spellStart"/>
      <w:r w:rsidR="003A6DA8" w:rsidRPr="003A6DA8">
        <w:rPr>
          <w:rFonts w:asciiTheme="majorBidi" w:hAnsiTheme="majorBidi" w:cstheme="majorBidi"/>
          <w:sz w:val="24"/>
          <w:szCs w:val="24"/>
          <w:lang w:bidi="ar-IQ"/>
        </w:rPr>
        <w:t>Önal</w:t>
      </w:r>
      <w:proofErr w:type="spellEnd"/>
      <w:r w:rsidR="003A6DA8">
        <w:rPr>
          <w:rFonts w:asciiTheme="majorBidi" w:hAnsiTheme="majorBidi" w:cstheme="majorBidi"/>
          <w:sz w:val="24"/>
          <w:szCs w:val="24"/>
          <w:lang w:bidi="ar-IQ"/>
        </w:rPr>
        <w:t xml:space="preserve"> et al., 2014</w:t>
      </w:r>
      <w:r w:rsidR="003A6DA8">
        <w:rPr>
          <w:rFonts w:asciiTheme="majorBidi" w:hAnsiTheme="majorBidi" w:cstheme="majorBidi"/>
          <w:sz w:val="24"/>
          <w:szCs w:val="24"/>
        </w:rPr>
        <w:t xml:space="preserve">) who was clarify that </w:t>
      </w:r>
      <w:r w:rsidR="003A6DA8" w:rsidRPr="003A6DA8">
        <w:rPr>
          <w:rFonts w:asciiTheme="majorBidi" w:hAnsiTheme="majorBidi" w:cstheme="majorBidi"/>
          <w:sz w:val="24"/>
          <w:szCs w:val="24"/>
        </w:rPr>
        <w:t>High HbA1c levels in obese children can be used as a screening tool to detect insulin sensitivity and resistance at an early stage.</w:t>
      </w:r>
      <w:r w:rsidR="00091F42" w:rsidRPr="002906BC">
        <w:rPr>
          <w:rFonts w:asciiTheme="majorBidi" w:hAnsiTheme="majorBidi" w:cstheme="majorBidi"/>
          <w:sz w:val="24"/>
          <w:szCs w:val="24"/>
        </w:rPr>
        <w:t xml:space="preserve"> </w:t>
      </w:r>
      <w:r w:rsidR="00091F42" w:rsidRPr="002906BC">
        <w:rPr>
          <w:rFonts w:asciiTheme="majorBidi" w:hAnsiTheme="majorBidi" w:cstheme="majorBidi"/>
          <w:sz w:val="24"/>
          <w:szCs w:val="24"/>
          <w:lang w:bidi="ar-IQ"/>
        </w:rPr>
        <w:t xml:space="preserve">  </w:t>
      </w:r>
      <w:r w:rsidR="00586289" w:rsidRPr="002906BC">
        <w:rPr>
          <w:rFonts w:asciiTheme="majorBidi" w:hAnsiTheme="majorBidi" w:cstheme="majorBidi"/>
          <w:sz w:val="24"/>
          <w:szCs w:val="24"/>
          <w:lang w:bidi="ar-IQ"/>
        </w:rPr>
        <w:t xml:space="preserve">  </w:t>
      </w:r>
    </w:p>
    <w:tbl>
      <w:tblPr>
        <w:tblStyle w:val="MediumShading2-Accent1"/>
        <w:bidiVisual/>
        <w:tblW w:w="8475" w:type="dxa"/>
        <w:tblLook w:val="04A0" w:firstRow="1" w:lastRow="0" w:firstColumn="1" w:lastColumn="0" w:noHBand="0" w:noVBand="1"/>
      </w:tblPr>
      <w:tblGrid>
        <w:gridCol w:w="1433"/>
        <w:gridCol w:w="2127"/>
        <w:gridCol w:w="2224"/>
        <w:gridCol w:w="2691"/>
      </w:tblGrid>
      <w:tr w:rsidR="002A1584" w:rsidRPr="002906BC" w:rsidTr="00275B2E">
        <w:trPr>
          <w:cnfStyle w:val="100000000000" w:firstRow="1" w:lastRow="0" w:firstColumn="0" w:lastColumn="0" w:oddVBand="0" w:evenVBand="0" w:oddHBand="0" w:evenHBand="0" w:firstRowFirstColumn="0" w:firstRowLastColumn="0" w:lastRowFirstColumn="0" w:lastRowLastColumn="0"/>
          <w:trHeight w:val="632"/>
        </w:trPr>
        <w:tc>
          <w:tcPr>
            <w:cnfStyle w:val="001000000100" w:firstRow="0" w:lastRow="0" w:firstColumn="1" w:lastColumn="0" w:oddVBand="0" w:evenVBand="0" w:oddHBand="0" w:evenHBand="0" w:firstRowFirstColumn="1" w:firstRowLastColumn="0" w:lastRowFirstColumn="0" w:lastRowLastColumn="0"/>
            <w:tcW w:w="1433" w:type="dxa"/>
          </w:tcPr>
          <w:p w:rsidR="002A1584" w:rsidRPr="002906BC" w:rsidRDefault="002A1584" w:rsidP="00275B2E">
            <w:pPr>
              <w:tabs>
                <w:tab w:val="center" w:pos="617"/>
              </w:tabs>
              <w:spacing w:line="276" w:lineRule="auto"/>
              <w:rPr>
                <w:rFonts w:asciiTheme="majorBidi" w:hAnsiTheme="majorBidi" w:cstheme="majorBidi"/>
                <w:sz w:val="24"/>
                <w:szCs w:val="24"/>
                <w:lang w:bidi="ar-IQ"/>
              </w:rPr>
            </w:pPr>
            <w:r w:rsidRPr="002906BC">
              <w:rPr>
                <w:rFonts w:asciiTheme="majorBidi" w:hAnsiTheme="majorBidi" w:cstheme="majorBidi"/>
                <w:sz w:val="24"/>
                <w:szCs w:val="24"/>
              </w:rPr>
              <w:lastRenderedPageBreak/>
              <w:tab/>
              <w:t>P value</w:t>
            </w:r>
          </w:p>
        </w:tc>
        <w:tc>
          <w:tcPr>
            <w:tcW w:w="2127" w:type="dxa"/>
          </w:tcPr>
          <w:p w:rsidR="002A1584" w:rsidRPr="002906BC" w:rsidRDefault="002A1584"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906BC">
              <w:rPr>
                <w:rFonts w:asciiTheme="majorBidi" w:hAnsiTheme="majorBidi" w:cstheme="majorBidi"/>
                <w:sz w:val="24"/>
                <w:szCs w:val="24"/>
              </w:rPr>
              <w:t>patient subjects</w:t>
            </w:r>
          </w:p>
          <w:p w:rsidR="002A1584" w:rsidRPr="002906BC" w:rsidRDefault="002A1584"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2906BC">
              <w:rPr>
                <w:rFonts w:asciiTheme="majorBidi" w:hAnsiTheme="majorBidi" w:cstheme="majorBidi"/>
                <w:sz w:val="24"/>
                <w:szCs w:val="24"/>
                <w:lang w:bidi="ar-IQ"/>
              </w:rPr>
              <w:t xml:space="preserve">Mean </w:t>
            </w:r>
            <w:r w:rsidRPr="002906BC">
              <w:rPr>
                <w:rFonts w:asciiTheme="majorBidi" w:hAnsiTheme="majorBidi" w:cstheme="majorBidi"/>
                <w:sz w:val="24"/>
                <w:szCs w:val="24"/>
              </w:rPr>
              <w:t>±</w:t>
            </w:r>
            <w:r w:rsidRPr="002906BC">
              <w:rPr>
                <w:rFonts w:asciiTheme="majorBidi" w:hAnsiTheme="majorBidi" w:cstheme="majorBidi"/>
                <w:sz w:val="24"/>
                <w:szCs w:val="24"/>
                <w:lang w:bidi="ar-IQ"/>
              </w:rPr>
              <w:t>SD</w:t>
            </w:r>
          </w:p>
        </w:tc>
        <w:tc>
          <w:tcPr>
            <w:tcW w:w="2224" w:type="dxa"/>
          </w:tcPr>
          <w:p w:rsidR="002A1584" w:rsidRPr="002906BC" w:rsidRDefault="002A1584" w:rsidP="00275B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906BC">
              <w:rPr>
                <w:rFonts w:asciiTheme="majorBidi" w:hAnsiTheme="majorBidi" w:cstheme="majorBidi"/>
                <w:sz w:val="24"/>
                <w:szCs w:val="24"/>
              </w:rPr>
              <w:t>Control subjects</w:t>
            </w:r>
          </w:p>
          <w:p w:rsidR="002A1584" w:rsidRPr="002906BC" w:rsidRDefault="002A1584"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Mean </w:t>
            </w:r>
            <w:r w:rsidRPr="002906BC">
              <w:rPr>
                <w:rFonts w:asciiTheme="majorBidi" w:hAnsiTheme="majorBidi" w:cstheme="majorBidi"/>
                <w:sz w:val="24"/>
                <w:szCs w:val="24"/>
              </w:rPr>
              <w:t>±</w:t>
            </w:r>
            <w:r w:rsidRPr="002906BC">
              <w:rPr>
                <w:rFonts w:asciiTheme="majorBidi" w:hAnsiTheme="majorBidi" w:cstheme="majorBidi"/>
                <w:sz w:val="24"/>
                <w:szCs w:val="24"/>
                <w:lang w:bidi="ar-IQ"/>
              </w:rPr>
              <w:t>SD</w:t>
            </w:r>
          </w:p>
        </w:tc>
        <w:tc>
          <w:tcPr>
            <w:tcW w:w="2691" w:type="dxa"/>
          </w:tcPr>
          <w:p w:rsidR="002A1584" w:rsidRPr="002906BC" w:rsidRDefault="002A1584"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bidi="ar-IQ"/>
              </w:rPr>
            </w:pPr>
            <w:r w:rsidRPr="002906BC">
              <w:rPr>
                <w:rFonts w:asciiTheme="majorBidi" w:hAnsiTheme="majorBidi" w:cstheme="majorBidi"/>
                <w:sz w:val="24"/>
                <w:szCs w:val="24"/>
                <w:lang w:bidi="ar-IQ"/>
              </w:rPr>
              <w:t>Parameter</w:t>
            </w:r>
          </w:p>
        </w:tc>
      </w:tr>
      <w:tr w:rsidR="002A1584" w:rsidRPr="002906BC" w:rsidTr="00275B2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33" w:type="dxa"/>
          </w:tcPr>
          <w:p w:rsidR="002A1584" w:rsidRPr="002906BC" w:rsidRDefault="002A1584"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rtl/>
                <w:lang w:bidi="ar-IQ"/>
              </w:rPr>
              <w:t>0.41</w:t>
            </w:r>
          </w:p>
        </w:tc>
        <w:tc>
          <w:tcPr>
            <w:tcW w:w="2127" w:type="dxa"/>
          </w:tcPr>
          <w:p w:rsidR="002A1584" w:rsidRPr="002906BC" w:rsidRDefault="002A1584"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1.47</w:t>
            </w:r>
            <w:r w:rsidRPr="002906BC">
              <w:rPr>
                <w:rFonts w:asciiTheme="majorBidi" w:hAnsiTheme="majorBidi" w:cstheme="majorBidi"/>
                <w:sz w:val="24"/>
                <w:szCs w:val="24"/>
              </w:rPr>
              <w:t>±0.28</w:t>
            </w:r>
          </w:p>
        </w:tc>
        <w:tc>
          <w:tcPr>
            <w:tcW w:w="2224" w:type="dxa"/>
          </w:tcPr>
          <w:p w:rsidR="002A1584" w:rsidRPr="002906BC" w:rsidRDefault="002A1584"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1.35</w:t>
            </w:r>
            <w:r w:rsidRPr="002906BC">
              <w:rPr>
                <w:rFonts w:asciiTheme="majorBidi" w:hAnsiTheme="majorBidi" w:cstheme="majorBidi"/>
                <w:sz w:val="24"/>
                <w:szCs w:val="24"/>
              </w:rPr>
              <w:t>±0.36</w:t>
            </w:r>
          </w:p>
        </w:tc>
        <w:tc>
          <w:tcPr>
            <w:tcW w:w="2691" w:type="dxa"/>
          </w:tcPr>
          <w:p w:rsidR="002A1584" w:rsidRPr="002906BC" w:rsidRDefault="002A1584" w:rsidP="00275B2E">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2906BC">
              <w:rPr>
                <w:rFonts w:asciiTheme="majorBidi" w:hAnsiTheme="majorBidi" w:cstheme="majorBidi"/>
                <w:sz w:val="24"/>
                <w:szCs w:val="24"/>
              </w:rPr>
              <w:t>HOMA-IR (units)</w:t>
            </w:r>
          </w:p>
        </w:tc>
      </w:tr>
      <w:tr w:rsidR="002A1584" w:rsidRPr="002906BC" w:rsidTr="00275B2E">
        <w:trPr>
          <w:trHeight w:val="165"/>
        </w:trPr>
        <w:tc>
          <w:tcPr>
            <w:cnfStyle w:val="001000000000" w:firstRow="0" w:lastRow="0" w:firstColumn="1" w:lastColumn="0" w:oddVBand="0" w:evenVBand="0" w:oddHBand="0" w:evenHBand="0" w:firstRowFirstColumn="0" w:firstRowLastColumn="0" w:lastRowFirstColumn="0" w:lastRowLastColumn="0"/>
            <w:tcW w:w="1433" w:type="dxa"/>
          </w:tcPr>
          <w:p w:rsidR="002A1584" w:rsidRPr="002906BC" w:rsidRDefault="002A1584"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lang w:bidi="ar-IQ"/>
              </w:rPr>
              <w:t>0.033</w:t>
            </w:r>
          </w:p>
        </w:tc>
        <w:tc>
          <w:tcPr>
            <w:tcW w:w="2127" w:type="dxa"/>
          </w:tcPr>
          <w:p w:rsidR="002A1584" w:rsidRPr="002906BC" w:rsidRDefault="002A1584"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8.5</w:t>
            </w:r>
            <w:r w:rsidRPr="002906BC">
              <w:rPr>
                <w:rFonts w:asciiTheme="majorBidi" w:hAnsiTheme="majorBidi" w:cstheme="majorBidi"/>
                <w:sz w:val="24"/>
                <w:szCs w:val="24"/>
              </w:rPr>
              <w:t>±0.93</w:t>
            </w:r>
          </w:p>
        </w:tc>
        <w:tc>
          <w:tcPr>
            <w:tcW w:w="2224" w:type="dxa"/>
          </w:tcPr>
          <w:p w:rsidR="002A1584" w:rsidRPr="002906BC" w:rsidRDefault="002A1584"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2906BC">
              <w:rPr>
                <w:rFonts w:asciiTheme="majorBidi" w:hAnsiTheme="majorBidi" w:cstheme="majorBidi"/>
                <w:sz w:val="24"/>
                <w:szCs w:val="24"/>
              </w:rPr>
              <w:t>±0.5</w:t>
            </w:r>
            <w:r w:rsidRPr="002906BC">
              <w:rPr>
                <w:rFonts w:asciiTheme="majorBidi" w:hAnsiTheme="majorBidi" w:cstheme="majorBidi"/>
                <w:sz w:val="24"/>
                <w:szCs w:val="24"/>
                <w:rtl/>
                <w:lang w:bidi="ar-IQ"/>
              </w:rPr>
              <w:t>4.5</w:t>
            </w:r>
          </w:p>
        </w:tc>
        <w:tc>
          <w:tcPr>
            <w:tcW w:w="2691" w:type="dxa"/>
          </w:tcPr>
          <w:p w:rsidR="002A1584" w:rsidRPr="002906BC" w:rsidRDefault="002A1584" w:rsidP="00275B2E">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2906BC">
              <w:rPr>
                <w:rFonts w:asciiTheme="majorBidi" w:hAnsiTheme="majorBidi" w:cstheme="majorBidi"/>
                <w:sz w:val="24"/>
                <w:szCs w:val="24"/>
              </w:rPr>
              <w:t xml:space="preserve">HbA1C </w:t>
            </w:r>
          </w:p>
        </w:tc>
      </w:tr>
      <w:tr w:rsidR="002A1584" w:rsidRPr="002906BC" w:rsidTr="00275B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33" w:type="dxa"/>
          </w:tcPr>
          <w:p w:rsidR="002A1584" w:rsidRPr="002906BC" w:rsidRDefault="002A1584"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lang w:bidi="ar-IQ"/>
              </w:rPr>
              <w:t>0.021</w:t>
            </w:r>
          </w:p>
        </w:tc>
        <w:tc>
          <w:tcPr>
            <w:tcW w:w="2127" w:type="dxa"/>
          </w:tcPr>
          <w:p w:rsidR="002A1584" w:rsidRPr="002906BC" w:rsidRDefault="002A1584"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25</w:t>
            </w:r>
            <w:r w:rsidRPr="002906BC">
              <w:rPr>
                <w:rFonts w:asciiTheme="majorBidi" w:hAnsiTheme="majorBidi" w:cstheme="majorBidi"/>
                <w:sz w:val="24"/>
                <w:szCs w:val="24"/>
              </w:rPr>
              <w:t>.00±6.00</w:t>
            </w:r>
          </w:p>
        </w:tc>
        <w:tc>
          <w:tcPr>
            <w:tcW w:w="2224" w:type="dxa"/>
          </w:tcPr>
          <w:p w:rsidR="002A1584" w:rsidRPr="002906BC" w:rsidRDefault="002A1584"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55.78</w:t>
            </w:r>
            <w:r w:rsidRPr="002906BC">
              <w:rPr>
                <w:rFonts w:asciiTheme="majorBidi" w:hAnsiTheme="majorBidi" w:cstheme="majorBidi"/>
                <w:sz w:val="24"/>
                <w:szCs w:val="24"/>
              </w:rPr>
              <w:t>±7.54</w:t>
            </w:r>
          </w:p>
        </w:tc>
        <w:tc>
          <w:tcPr>
            <w:tcW w:w="2691" w:type="dxa"/>
          </w:tcPr>
          <w:p w:rsidR="002A1584" w:rsidRPr="002906BC" w:rsidRDefault="002A1584" w:rsidP="00275B2E">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2906BC">
              <w:rPr>
                <w:rFonts w:asciiTheme="majorBidi" w:hAnsiTheme="majorBidi" w:cstheme="majorBidi"/>
                <w:sz w:val="24"/>
                <w:szCs w:val="24"/>
              </w:rPr>
              <w:t>Insulin (</w:t>
            </w:r>
            <w:proofErr w:type="spellStart"/>
            <w:r w:rsidRPr="002906BC">
              <w:rPr>
                <w:rFonts w:asciiTheme="majorBidi" w:hAnsiTheme="majorBidi" w:cstheme="majorBidi"/>
                <w:sz w:val="24"/>
                <w:szCs w:val="24"/>
              </w:rPr>
              <w:t>Pmol</w:t>
            </w:r>
            <w:proofErr w:type="spellEnd"/>
            <w:r w:rsidRPr="002906BC">
              <w:rPr>
                <w:rFonts w:asciiTheme="majorBidi" w:hAnsiTheme="majorBidi" w:cstheme="majorBidi"/>
                <w:sz w:val="24"/>
                <w:szCs w:val="24"/>
              </w:rPr>
              <w:t>/dl)</w:t>
            </w:r>
          </w:p>
        </w:tc>
      </w:tr>
      <w:tr w:rsidR="002A1584" w:rsidRPr="002906BC" w:rsidTr="00275B2E">
        <w:trPr>
          <w:trHeight w:val="348"/>
        </w:trPr>
        <w:tc>
          <w:tcPr>
            <w:cnfStyle w:val="001000000000" w:firstRow="0" w:lastRow="0" w:firstColumn="1" w:lastColumn="0" w:oddVBand="0" w:evenVBand="0" w:oddHBand="0" w:evenHBand="0" w:firstRowFirstColumn="0" w:firstRowLastColumn="0" w:lastRowFirstColumn="0" w:lastRowLastColumn="0"/>
            <w:tcW w:w="1433" w:type="dxa"/>
          </w:tcPr>
          <w:p w:rsidR="002A1584" w:rsidRPr="002906BC" w:rsidRDefault="002A1584"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lang w:bidi="ar-IQ"/>
              </w:rPr>
              <w:t>0.21</w:t>
            </w:r>
          </w:p>
        </w:tc>
        <w:tc>
          <w:tcPr>
            <w:tcW w:w="2127" w:type="dxa"/>
          </w:tcPr>
          <w:p w:rsidR="002A1584" w:rsidRPr="002906BC" w:rsidRDefault="002A1584"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258.35</w:t>
            </w:r>
            <w:r w:rsidRPr="002906BC">
              <w:rPr>
                <w:rFonts w:asciiTheme="majorBidi" w:hAnsiTheme="majorBidi" w:cstheme="majorBidi"/>
                <w:sz w:val="24"/>
                <w:szCs w:val="24"/>
              </w:rPr>
              <w:t>±24.00</w:t>
            </w:r>
          </w:p>
        </w:tc>
        <w:tc>
          <w:tcPr>
            <w:tcW w:w="2224" w:type="dxa"/>
          </w:tcPr>
          <w:p w:rsidR="002A1584" w:rsidRPr="002906BC" w:rsidRDefault="002A1584"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92.67</w:t>
            </w:r>
            <w:r w:rsidRPr="002906BC">
              <w:rPr>
                <w:rFonts w:asciiTheme="majorBidi" w:hAnsiTheme="majorBidi" w:cstheme="majorBidi"/>
                <w:sz w:val="24"/>
                <w:szCs w:val="24"/>
              </w:rPr>
              <w:t>±25.91</w:t>
            </w:r>
          </w:p>
        </w:tc>
        <w:tc>
          <w:tcPr>
            <w:tcW w:w="2691" w:type="dxa"/>
          </w:tcPr>
          <w:p w:rsidR="002A1584" w:rsidRPr="002906BC" w:rsidRDefault="002A1584" w:rsidP="00275B2E">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2906BC">
              <w:rPr>
                <w:rFonts w:asciiTheme="majorBidi" w:hAnsiTheme="majorBidi" w:cstheme="majorBidi"/>
                <w:sz w:val="24"/>
                <w:szCs w:val="24"/>
              </w:rPr>
              <w:t>glucose (mg/dl)</w:t>
            </w:r>
          </w:p>
        </w:tc>
      </w:tr>
    </w:tbl>
    <w:p w:rsidR="002A1584" w:rsidRPr="002906BC" w:rsidRDefault="002A1584" w:rsidP="00275B2E">
      <w:pPr>
        <w:bidi w:val="0"/>
        <w:jc w:val="both"/>
        <w:rPr>
          <w:rFonts w:asciiTheme="majorBidi" w:hAnsiTheme="majorBidi" w:cstheme="majorBidi"/>
          <w:sz w:val="24"/>
          <w:szCs w:val="24"/>
          <w:lang w:bidi="ar-IQ"/>
        </w:rPr>
      </w:pPr>
    </w:p>
    <w:p w:rsidR="00EC0BD9" w:rsidRPr="002906BC" w:rsidRDefault="000730BA"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Despite advances in diabetes technology and treatment, a majority of children and adolescents with type 1 diabetes (T1D) fail to meet hemoglobin </w:t>
      </w:r>
      <w:proofErr w:type="gramStart"/>
      <w:r w:rsidRPr="002906BC">
        <w:rPr>
          <w:rFonts w:asciiTheme="majorBidi" w:hAnsiTheme="majorBidi" w:cstheme="majorBidi"/>
          <w:sz w:val="24"/>
          <w:szCs w:val="24"/>
          <w:lang w:bidi="ar-IQ"/>
        </w:rPr>
        <w:t>A1c</w:t>
      </w:r>
      <w:proofErr w:type="gramEnd"/>
      <w:r w:rsidRPr="002906BC">
        <w:rPr>
          <w:rFonts w:asciiTheme="majorBidi" w:hAnsiTheme="majorBidi" w:cstheme="majorBidi"/>
          <w:sz w:val="24"/>
          <w:szCs w:val="24"/>
          <w:lang w:bidi="ar-IQ"/>
        </w:rPr>
        <w:t xml:space="preserve"> (HbA1c) targets. Among high-income nations, the United States has one of the highest mean HbA1c values, some of study refers there was a rise in the HbA1c between the fifth and sixth month </w:t>
      </w:r>
      <w:proofErr w:type="spellStart"/>
      <w:r w:rsidRPr="002906BC">
        <w:rPr>
          <w:rFonts w:asciiTheme="majorBidi" w:hAnsiTheme="majorBidi" w:cstheme="majorBidi"/>
          <w:sz w:val="24"/>
          <w:szCs w:val="24"/>
          <w:lang w:bidi="ar-IQ"/>
        </w:rPr>
        <w:t>postdiagnosis</w:t>
      </w:r>
      <w:proofErr w:type="spellEnd"/>
      <w:r w:rsidRPr="002906BC">
        <w:rPr>
          <w:rFonts w:asciiTheme="majorBidi" w:hAnsiTheme="majorBidi" w:cstheme="majorBidi"/>
          <w:sz w:val="24"/>
          <w:szCs w:val="24"/>
          <w:lang w:bidi="ar-IQ"/>
        </w:rPr>
        <w:t xml:space="preserve"> (</w:t>
      </w:r>
      <w:proofErr w:type="spellStart"/>
      <w:r w:rsidR="004827C0" w:rsidRPr="002906BC">
        <w:rPr>
          <w:rFonts w:asciiTheme="majorBidi" w:hAnsiTheme="majorBidi" w:cstheme="majorBidi"/>
          <w:sz w:val="24"/>
          <w:szCs w:val="24"/>
          <w:lang w:bidi="ar-IQ"/>
        </w:rPr>
        <w:t>Prahalad</w:t>
      </w:r>
      <w:proofErr w:type="spellEnd"/>
      <w:r w:rsidR="004827C0" w:rsidRPr="002906BC">
        <w:rPr>
          <w:rFonts w:asciiTheme="majorBidi" w:hAnsiTheme="majorBidi" w:cstheme="majorBidi"/>
          <w:sz w:val="24"/>
          <w:szCs w:val="24"/>
          <w:lang w:bidi="ar-IQ"/>
        </w:rPr>
        <w:t xml:space="preserve"> et al., 2021</w:t>
      </w:r>
      <w:r w:rsidRPr="002906BC">
        <w:rPr>
          <w:rFonts w:asciiTheme="majorBidi" w:hAnsiTheme="majorBidi" w:cstheme="majorBidi"/>
          <w:sz w:val="24"/>
          <w:szCs w:val="24"/>
          <w:lang w:bidi="ar-IQ"/>
        </w:rPr>
        <w:t>)</w:t>
      </w:r>
      <w:r w:rsidR="00EC0BD9" w:rsidRPr="002906BC">
        <w:rPr>
          <w:rFonts w:asciiTheme="majorBidi" w:hAnsiTheme="majorBidi" w:cstheme="majorBidi"/>
          <w:sz w:val="24"/>
          <w:szCs w:val="24"/>
          <w:lang w:bidi="ar-IQ"/>
        </w:rPr>
        <w:t>.</w:t>
      </w:r>
      <w:r w:rsidR="00D17999" w:rsidRPr="002906BC">
        <w:rPr>
          <w:rFonts w:asciiTheme="majorBidi" w:hAnsiTheme="majorBidi" w:cstheme="majorBidi"/>
          <w:sz w:val="24"/>
          <w:szCs w:val="24"/>
          <w:lang w:bidi="ar-IQ"/>
        </w:rPr>
        <w:t>some of study refers to the HbA1c trajectory after diagnosis can help to target interventions in the course of T1D and following the diagnosis of T1D, there is usually a decrease in HbA1c after starting insulin (</w:t>
      </w:r>
      <w:proofErr w:type="spellStart"/>
      <w:r w:rsidR="00D17999" w:rsidRPr="002906BC">
        <w:rPr>
          <w:rFonts w:asciiTheme="majorBidi" w:hAnsiTheme="majorBidi" w:cstheme="majorBidi"/>
          <w:sz w:val="24"/>
          <w:szCs w:val="24"/>
          <w:lang w:bidi="ar-IQ"/>
        </w:rPr>
        <w:t>Prahalad</w:t>
      </w:r>
      <w:proofErr w:type="spellEnd"/>
      <w:r w:rsidR="00D17999" w:rsidRPr="002906BC">
        <w:rPr>
          <w:rFonts w:asciiTheme="majorBidi" w:hAnsiTheme="majorBidi" w:cstheme="majorBidi"/>
          <w:sz w:val="24"/>
          <w:szCs w:val="24"/>
          <w:lang w:bidi="ar-IQ"/>
        </w:rPr>
        <w:t xml:space="preserve"> </w:t>
      </w:r>
      <w:r w:rsidR="00D17999" w:rsidRPr="002906BC">
        <w:rPr>
          <w:rFonts w:asciiTheme="majorBidi" w:hAnsiTheme="majorBidi" w:cstheme="majorBidi"/>
          <w:i/>
          <w:iCs/>
          <w:sz w:val="24"/>
          <w:szCs w:val="24"/>
          <w:lang w:bidi="ar-IQ"/>
        </w:rPr>
        <w:t>et al</w:t>
      </w:r>
      <w:r w:rsidR="00D17999" w:rsidRPr="002906BC">
        <w:rPr>
          <w:rFonts w:asciiTheme="majorBidi" w:hAnsiTheme="majorBidi" w:cstheme="majorBidi"/>
          <w:sz w:val="24"/>
          <w:szCs w:val="24"/>
          <w:lang w:bidi="ar-IQ"/>
        </w:rPr>
        <w:t>., 2019). Endogenous insulin production declines as T1D progresses, glucose control becomes more difficult, and HbA1c frequently rises</w:t>
      </w:r>
      <w:r w:rsidR="004827C0" w:rsidRPr="002906BC">
        <w:rPr>
          <w:rFonts w:asciiTheme="majorBidi" w:hAnsiTheme="majorBidi" w:cstheme="majorBidi"/>
          <w:sz w:val="24"/>
          <w:szCs w:val="24"/>
          <w:lang w:bidi="ar-IQ"/>
        </w:rPr>
        <w:t>.</w:t>
      </w:r>
    </w:p>
    <w:p w:rsidR="004827C0" w:rsidRPr="002906BC" w:rsidRDefault="004827C0"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Table 4 indicates that there are no significant differences in AST IU/L, ALP IU/L and ALT IU/L values between the group of patients and the healthy group, </w:t>
      </w:r>
    </w:p>
    <w:p w:rsidR="00275B2E" w:rsidRPr="002906BC" w:rsidRDefault="00275B2E" w:rsidP="00275B2E">
      <w:pPr>
        <w:bidi w:val="0"/>
        <w:jc w:val="both"/>
        <w:rPr>
          <w:rFonts w:asciiTheme="majorBidi" w:hAnsiTheme="majorBidi" w:cstheme="majorBidi"/>
          <w:sz w:val="24"/>
          <w:szCs w:val="24"/>
          <w:lang w:bidi="ar-IQ"/>
        </w:rPr>
      </w:pPr>
    </w:p>
    <w:tbl>
      <w:tblPr>
        <w:tblStyle w:val="MediumShading2-Accent1"/>
        <w:bidiVisual/>
        <w:tblW w:w="0" w:type="auto"/>
        <w:tblLook w:val="04A0" w:firstRow="1" w:lastRow="0" w:firstColumn="1" w:lastColumn="0" w:noHBand="0" w:noVBand="1"/>
      </w:tblPr>
      <w:tblGrid>
        <w:gridCol w:w="1422"/>
        <w:gridCol w:w="2112"/>
        <w:gridCol w:w="2208"/>
        <w:gridCol w:w="2672"/>
      </w:tblGrid>
      <w:tr w:rsidR="004827C0" w:rsidRPr="002906BC" w:rsidTr="00275B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2" w:type="dxa"/>
            <w:hideMark/>
          </w:tcPr>
          <w:p w:rsidR="004827C0" w:rsidRPr="002906BC" w:rsidRDefault="004827C0" w:rsidP="00275B2E">
            <w:pPr>
              <w:tabs>
                <w:tab w:val="center" w:pos="617"/>
              </w:tabs>
              <w:spacing w:line="276" w:lineRule="auto"/>
              <w:rPr>
                <w:rFonts w:asciiTheme="majorBidi" w:hAnsiTheme="majorBidi" w:cstheme="majorBidi"/>
                <w:sz w:val="24"/>
                <w:szCs w:val="24"/>
                <w:lang w:bidi="ar-IQ"/>
              </w:rPr>
            </w:pPr>
            <w:r w:rsidRPr="002906BC">
              <w:rPr>
                <w:rFonts w:asciiTheme="majorBidi" w:hAnsiTheme="majorBidi" w:cstheme="majorBidi"/>
                <w:sz w:val="24"/>
                <w:szCs w:val="24"/>
              </w:rPr>
              <w:tab/>
              <w:t>P value</w:t>
            </w:r>
          </w:p>
        </w:tc>
        <w:tc>
          <w:tcPr>
            <w:tcW w:w="2112" w:type="dxa"/>
            <w:hideMark/>
          </w:tcPr>
          <w:p w:rsidR="004827C0" w:rsidRPr="002906BC" w:rsidRDefault="004827C0"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2906BC">
              <w:rPr>
                <w:rFonts w:asciiTheme="majorBidi" w:hAnsiTheme="majorBidi" w:cstheme="majorBidi"/>
                <w:sz w:val="24"/>
                <w:szCs w:val="24"/>
              </w:rPr>
              <w:t>Patient subjects</w:t>
            </w:r>
          </w:p>
          <w:p w:rsidR="004827C0" w:rsidRPr="002906BC" w:rsidRDefault="004827C0"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Mean </w:t>
            </w:r>
            <w:r w:rsidRPr="002906BC">
              <w:rPr>
                <w:rFonts w:asciiTheme="majorBidi" w:hAnsiTheme="majorBidi" w:cstheme="majorBidi"/>
                <w:sz w:val="24"/>
                <w:szCs w:val="24"/>
              </w:rPr>
              <w:t>±</w:t>
            </w:r>
            <w:r w:rsidRPr="002906BC">
              <w:rPr>
                <w:rFonts w:asciiTheme="majorBidi" w:hAnsiTheme="majorBidi" w:cstheme="majorBidi"/>
                <w:sz w:val="24"/>
                <w:szCs w:val="24"/>
                <w:lang w:bidi="ar-IQ"/>
              </w:rPr>
              <w:t>SD</w:t>
            </w:r>
          </w:p>
        </w:tc>
        <w:tc>
          <w:tcPr>
            <w:tcW w:w="2208" w:type="dxa"/>
            <w:hideMark/>
          </w:tcPr>
          <w:p w:rsidR="004827C0" w:rsidRPr="002906BC" w:rsidRDefault="004827C0" w:rsidP="00275B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2906BC">
              <w:rPr>
                <w:rFonts w:asciiTheme="majorBidi" w:hAnsiTheme="majorBidi" w:cstheme="majorBidi"/>
                <w:sz w:val="24"/>
                <w:szCs w:val="24"/>
              </w:rPr>
              <w:t>Control subjects</w:t>
            </w:r>
          </w:p>
          <w:p w:rsidR="004827C0" w:rsidRPr="002906BC" w:rsidRDefault="004827C0"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Mean </w:t>
            </w:r>
            <w:r w:rsidRPr="002906BC">
              <w:rPr>
                <w:rFonts w:asciiTheme="majorBidi" w:hAnsiTheme="majorBidi" w:cstheme="majorBidi"/>
                <w:sz w:val="24"/>
                <w:szCs w:val="24"/>
              </w:rPr>
              <w:t>±</w:t>
            </w:r>
            <w:r w:rsidRPr="002906BC">
              <w:rPr>
                <w:rFonts w:asciiTheme="majorBidi" w:hAnsiTheme="majorBidi" w:cstheme="majorBidi"/>
                <w:sz w:val="24"/>
                <w:szCs w:val="24"/>
                <w:lang w:bidi="ar-IQ"/>
              </w:rPr>
              <w:t>SD</w:t>
            </w:r>
          </w:p>
        </w:tc>
        <w:tc>
          <w:tcPr>
            <w:tcW w:w="2672" w:type="dxa"/>
            <w:hideMark/>
          </w:tcPr>
          <w:p w:rsidR="004827C0" w:rsidRPr="002906BC" w:rsidRDefault="004827C0" w:rsidP="00275B2E">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bidi="ar-IQ"/>
              </w:rPr>
            </w:pPr>
            <w:r w:rsidRPr="002906BC">
              <w:rPr>
                <w:rFonts w:asciiTheme="majorBidi" w:hAnsiTheme="majorBidi" w:cstheme="majorBidi"/>
                <w:sz w:val="24"/>
                <w:szCs w:val="24"/>
                <w:lang w:bidi="ar-IQ"/>
              </w:rPr>
              <w:t>Parameter</w:t>
            </w:r>
          </w:p>
        </w:tc>
      </w:tr>
      <w:tr w:rsidR="004827C0" w:rsidRPr="002906BC" w:rsidTr="0027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hideMark/>
          </w:tcPr>
          <w:p w:rsidR="004827C0" w:rsidRPr="002906BC" w:rsidRDefault="004827C0"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rtl/>
                <w:lang w:bidi="ar-IQ"/>
              </w:rPr>
              <w:t>0.81</w:t>
            </w:r>
          </w:p>
        </w:tc>
        <w:tc>
          <w:tcPr>
            <w:tcW w:w="2112" w:type="dxa"/>
            <w:hideMark/>
          </w:tcPr>
          <w:p w:rsidR="004827C0" w:rsidRPr="002906BC" w:rsidRDefault="004827C0"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25</w:t>
            </w:r>
            <w:r w:rsidRPr="002906BC">
              <w:rPr>
                <w:rFonts w:asciiTheme="majorBidi" w:hAnsiTheme="majorBidi" w:cstheme="majorBidi"/>
                <w:sz w:val="24"/>
                <w:szCs w:val="24"/>
              </w:rPr>
              <w:t>±6.29</w:t>
            </w:r>
          </w:p>
        </w:tc>
        <w:tc>
          <w:tcPr>
            <w:tcW w:w="2208" w:type="dxa"/>
            <w:hideMark/>
          </w:tcPr>
          <w:p w:rsidR="004827C0" w:rsidRPr="002906BC" w:rsidRDefault="004827C0"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29</w:t>
            </w:r>
            <w:r w:rsidRPr="002906BC">
              <w:rPr>
                <w:rFonts w:asciiTheme="majorBidi" w:hAnsiTheme="majorBidi" w:cstheme="majorBidi"/>
                <w:sz w:val="24"/>
                <w:szCs w:val="24"/>
              </w:rPr>
              <w:t>±3.73</w:t>
            </w:r>
          </w:p>
        </w:tc>
        <w:tc>
          <w:tcPr>
            <w:tcW w:w="2672" w:type="dxa"/>
          </w:tcPr>
          <w:p w:rsidR="004827C0" w:rsidRPr="002906BC" w:rsidRDefault="004827C0"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rPr>
              <w:t>AST IU/L</w:t>
            </w:r>
          </w:p>
        </w:tc>
      </w:tr>
      <w:tr w:rsidR="004827C0" w:rsidRPr="002906BC" w:rsidTr="00275B2E">
        <w:tc>
          <w:tcPr>
            <w:cnfStyle w:val="001000000000" w:firstRow="0" w:lastRow="0" w:firstColumn="1" w:lastColumn="0" w:oddVBand="0" w:evenVBand="0" w:oddHBand="0" w:evenHBand="0" w:firstRowFirstColumn="0" w:firstRowLastColumn="0" w:lastRowFirstColumn="0" w:lastRowLastColumn="0"/>
            <w:tcW w:w="1422" w:type="dxa"/>
            <w:hideMark/>
          </w:tcPr>
          <w:p w:rsidR="004827C0" w:rsidRPr="002906BC" w:rsidRDefault="004827C0"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lang w:bidi="ar-IQ"/>
              </w:rPr>
              <w:t>0.29</w:t>
            </w:r>
          </w:p>
        </w:tc>
        <w:tc>
          <w:tcPr>
            <w:tcW w:w="2112" w:type="dxa"/>
            <w:hideMark/>
          </w:tcPr>
          <w:p w:rsidR="004827C0" w:rsidRPr="002906BC" w:rsidRDefault="004827C0"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324.39</w:t>
            </w:r>
            <w:r w:rsidRPr="002906BC">
              <w:rPr>
                <w:rFonts w:asciiTheme="majorBidi" w:hAnsiTheme="majorBidi" w:cstheme="majorBidi"/>
                <w:sz w:val="24"/>
                <w:szCs w:val="24"/>
              </w:rPr>
              <w:t>±47.82</w:t>
            </w:r>
          </w:p>
        </w:tc>
        <w:tc>
          <w:tcPr>
            <w:tcW w:w="2208" w:type="dxa"/>
            <w:hideMark/>
          </w:tcPr>
          <w:p w:rsidR="004827C0" w:rsidRPr="002906BC" w:rsidRDefault="004827C0"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216.78</w:t>
            </w:r>
            <w:r w:rsidRPr="002906BC">
              <w:rPr>
                <w:rFonts w:asciiTheme="majorBidi" w:hAnsiTheme="majorBidi" w:cstheme="majorBidi"/>
                <w:sz w:val="24"/>
                <w:szCs w:val="24"/>
              </w:rPr>
              <w:t>±64.71</w:t>
            </w:r>
          </w:p>
        </w:tc>
        <w:tc>
          <w:tcPr>
            <w:tcW w:w="2672" w:type="dxa"/>
          </w:tcPr>
          <w:p w:rsidR="004827C0" w:rsidRPr="002906BC" w:rsidRDefault="004827C0"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906BC">
              <w:rPr>
                <w:rFonts w:asciiTheme="majorBidi" w:hAnsiTheme="majorBidi" w:cstheme="majorBidi"/>
                <w:sz w:val="24"/>
                <w:szCs w:val="24"/>
              </w:rPr>
              <w:t>ALP IU/L</w:t>
            </w:r>
          </w:p>
        </w:tc>
      </w:tr>
      <w:tr w:rsidR="004827C0" w:rsidRPr="002906BC" w:rsidTr="0027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hideMark/>
          </w:tcPr>
          <w:p w:rsidR="004827C0" w:rsidRPr="002906BC" w:rsidRDefault="004827C0" w:rsidP="00275B2E">
            <w:pPr>
              <w:spacing w:line="276" w:lineRule="auto"/>
              <w:jc w:val="center"/>
              <w:rPr>
                <w:rFonts w:asciiTheme="majorBidi" w:hAnsiTheme="majorBidi" w:cstheme="majorBidi"/>
                <w:sz w:val="24"/>
                <w:szCs w:val="24"/>
                <w:lang w:bidi="ar-IQ"/>
              </w:rPr>
            </w:pPr>
            <w:r w:rsidRPr="002906BC">
              <w:rPr>
                <w:rFonts w:asciiTheme="majorBidi" w:hAnsiTheme="majorBidi" w:cstheme="majorBidi"/>
                <w:sz w:val="24"/>
                <w:szCs w:val="24"/>
                <w:lang w:bidi="ar-IQ"/>
              </w:rPr>
              <w:t>0.13</w:t>
            </w:r>
          </w:p>
        </w:tc>
        <w:tc>
          <w:tcPr>
            <w:tcW w:w="2112" w:type="dxa"/>
            <w:hideMark/>
          </w:tcPr>
          <w:p w:rsidR="004827C0" w:rsidRPr="002906BC" w:rsidRDefault="004827C0"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52.51</w:t>
            </w:r>
            <w:r w:rsidRPr="002906BC">
              <w:rPr>
                <w:rFonts w:asciiTheme="majorBidi" w:hAnsiTheme="majorBidi" w:cstheme="majorBidi"/>
                <w:sz w:val="24"/>
                <w:szCs w:val="24"/>
              </w:rPr>
              <w:t>±6.00</w:t>
            </w:r>
          </w:p>
        </w:tc>
        <w:tc>
          <w:tcPr>
            <w:tcW w:w="2208" w:type="dxa"/>
            <w:hideMark/>
          </w:tcPr>
          <w:p w:rsidR="004827C0" w:rsidRPr="002906BC" w:rsidRDefault="004827C0"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49.8</w:t>
            </w:r>
            <w:r w:rsidRPr="002906BC">
              <w:rPr>
                <w:rFonts w:asciiTheme="majorBidi" w:hAnsiTheme="majorBidi" w:cstheme="majorBidi"/>
                <w:sz w:val="24"/>
                <w:szCs w:val="24"/>
              </w:rPr>
              <w:t>±7.54</w:t>
            </w:r>
          </w:p>
        </w:tc>
        <w:tc>
          <w:tcPr>
            <w:tcW w:w="2672" w:type="dxa"/>
          </w:tcPr>
          <w:p w:rsidR="004827C0" w:rsidRPr="002906BC" w:rsidRDefault="004827C0"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2906BC">
              <w:rPr>
                <w:rFonts w:asciiTheme="majorBidi" w:hAnsiTheme="majorBidi" w:cstheme="majorBidi"/>
                <w:sz w:val="24"/>
                <w:szCs w:val="24"/>
                <w:lang w:bidi="ar-IQ"/>
              </w:rPr>
              <w:t>ALT IU/L</w:t>
            </w:r>
          </w:p>
        </w:tc>
      </w:tr>
    </w:tbl>
    <w:p w:rsidR="000730BA" w:rsidRPr="002906BC" w:rsidRDefault="000730BA" w:rsidP="00275B2E">
      <w:pPr>
        <w:bidi w:val="0"/>
        <w:jc w:val="both"/>
        <w:rPr>
          <w:rFonts w:asciiTheme="majorBidi" w:hAnsiTheme="majorBidi" w:cstheme="majorBidi"/>
          <w:sz w:val="24"/>
          <w:szCs w:val="24"/>
          <w:lang w:bidi="ar-IQ"/>
        </w:rPr>
      </w:pPr>
    </w:p>
    <w:p w:rsidR="004827C0" w:rsidRPr="002906BC" w:rsidRDefault="004827C0" w:rsidP="003A6DA8">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Some o</w:t>
      </w:r>
      <w:r w:rsidR="003A6DA8">
        <w:rPr>
          <w:rFonts w:asciiTheme="majorBidi" w:hAnsiTheme="majorBidi" w:cstheme="majorBidi"/>
          <w:sz w:val="24"/>
          <w:szCs w:val="24"/>
          <w:lang w:bidi="ar-IQ"/>
        </w:rPr>
        <w:t>f</w:t>
      </w:r>
      <w:r w:rsidRPr="002906BC">
        <w:rPr>
          <w:rFonts w:asciiTheme="majorBidi" w:hAnsiTheme="majorBidi" w:cstheme="majorBidi"/>
          <w:sz w:val="24"/>
          <w:szCs w:val="24"/>
          <w:lang w:bidi="ar-IQ"/>
        </w:rPr>
        <w:t xml:space="preserve"> study </w:t>
      </w:r>
      <w:r w:rsidR="00706C94" w:rsidRPr="002906BC">
        <w:rPr>
          <w:rFonts w:asciiTheme="majorBidi" w:hAnsiTheme="majorBidi" w:cstheme="majorBidi"/>
          <w:sz w:val="24"/>
          <w:szCs w:val="24"/>
          <w:lang w:bidi="ar-IQ"/>
        </w:rPr>
        <w:t>illustrated that i</w:t>
      </w:r>
      <w:r w:rsidRPr="002906BC">
        <w:rPr>
          <w:rFonts w:asciiTheme="majorBidi" w:hAnsiTheme="majorBidi" w:cstheme="majorBidi"/>
          <w:sz w:val="24"/>
          <w:szCs w:val="24"/>
          <w:lang w:bidi="ar-IQ"/>
        </w:rPr>
        <w:t xml:space="preserve">ndividuals with T2DM have a higher rate of abnormal liver function tests than those without </w:t>
      </w:r>
      <w:r w:rsidR="00706C94" w:rsidRPr="002906BC">
        <w:rPr>
          <w:rFonts w:asciiTheme="majorBidi" w:hAnsiTheme="majorBidi" w:cstheme="majorBidi"/>
          <w:sz w:val="24"/>
          <w:szCs w:val="24"/>
          <w:lang w:bidi="ar-IQ"/>
        </w:rPr>
        <w:t>(Harris, 2005)</w:t>
      </w:r>
      <w:r w:rsidRPr="002906BC">
        <w:rPr>
          <w:rFonts w:asciiTheme="majorBidi" w:hAnsiTheme="majorBidi" w:cstheme="majorBidi"/>
          <w:sz w:val="24"/>
          <w:szCs w:val="24"/>
          <w:lang w:bidi="ar-IQ"/>
        </w:rPr>
        <w:t xml:space="preserve">. The ALT was found to be elevated in 40.4 </w:t>
      </w:r>
      <w:r w:rsidR="00706C94" w:rsidRPr="002906BC">
        <w:rPr>
          <w:rFonts w:asciiTheme="majorBidi" w:hAnsiTheme="majorBidi" w:cstheme="majorBidi"/>
          <w:sz w:val="24"/>
          <w:szCs w:val="24"/>
          <w:lang w:bidi="ar-IQ"/>
        </w:rPr>
        <w:t xml:space="preserve">% </w:t>
      </w:r>
      <w:r w:rsidRPr="002906BC">
        <w:rPr>
          <w:rFonts w:asciiTheme="majorBidi" w:hAnsiTheme="majorBidi" w:cstheme="majorBidi"/>
          <w:sz w:val="24"/>
          <w:szCs w:val="24"/>
          <w:lang w:bidi="ar-IQ"/>
        </w:rPr>
        <w:t xml:space="preserve">of diabetics in this study, but the AST and ALP were only elevated in 17 </w:t>
      </w:r>
      <w:r w:rsidR="00706C94" w:rsidRPr="002906BC">
        <w:rPr>
          <w:rFonts w:asciiTheme="majorBidi" w:hAnsiTheme="majorBidi" w:cstheme="majorBidi"/>
          <w:sz w:val="24"/>
          <w:szCs w:val="24"/>
          <w:lang w:bidi="ar-IQ"/>
        </w:rPr>
        <w:t>%</w:t>
      </w:r>
      <w:r w:rsidRPr="002906BC">
        <w:rPr>
          <w:rFonts w:asciiTheme="majorBidi" w:hAnsiTheme="majorBidi" w:cstheme="majorBidi"/>
          <w:sz w:val="24"/>
          <w:szCs w:val="24"/>
          <w:lang w:bidi="ar-IQ"/>
        </w:rPr>
        <w:t xml:space="preserve"> and 16 </w:t>
      </w:r>
      <w:r w:rsidR="00706C94" w:rsidRPr="002906BC">
        <w:rPr>
          <w:rFonts w:asciiTheme="majorBidi" w:hAnsiTheme="majorBidi" w:cstheme="majorBidi"/>
          <w:sz w:val="24"/>
          <w:szCs w:val="24"/>
          <w:lang w:bidi="ar-IQ"/>
        </w:rPr>
        <w:t>%</w:t>
      </w:r>
      <w:r w:rsidRPr="002906BC">
        <w:rPr>
          <w:rFonts w:asciiTheme="majorBidi" w:hAnsiTheme="majorBidi" w:cstheme="majorBidi"/>
          <w:sz w:val="24"/>
          <w:szCs w:val="24"/>
          <w:lang w:bidi="ar-IQ"/>
        </w:rPr>
        <w:t xml:space="preserve"> of diabetics, respectively</w:t>
      </w:r>
      <w:r w:rsidR="00706C94" w:rsidRPr="002906BC">
        <w:rPr>
          <w:rFonts w:asciiTheme="majorBidi" w:hAnsiTheme="majorBidi" w:cstheme="majorBidi"/>
          <w:sz w:val="24"/>
          <w:szCs w:val="24"/>
          <w:lang w:bidi="ar-IQ"/>
        </w:rPr>
        <w:t xml:space="preserve"> (</w:t>
      </w:r>
      <w:proofErr w:type="spellStart"/>
      <w:r w:rsidR="00706C94" w:rsidRPr="002906BC">
        <w:rPr>
          <w:rFonts w:asciiTheme="majorBidi" w:hAnsiTheme="majorBidi" w:cstheme="majorBidi"/>
          <w:sz w:val="24"/>
          <w:szCs w:val="24"/>
          <w:lang w:bidi="ar-IQ"/>
        </w:rPr>
        <w:t>Mandal</w:t>
      </w:r>
      <w:proofErr w:type="spellEnd"/>
      <w:r w:rsidR="00706C94" w:rsidRPr="002906BC">
        <w:rPr>
          <w:rFonts w:asciiTheme="majorBidi" w:hAnsiTheme="majorBidi" w:cstheme="majorBidi"/>
          <w:sz w:val="24"/>
          <w:szCs w:val="24"/>
          <w:lang w:bidi="ar-IQ"/>
        </w:rPr>
        <w:t xml:space="preserve"> et al., 2018)</w:t>
      </w:r>
      <w:r w:rsidRPr="002906BC">
        <w:rPr>
          <w:rFonts w:asciiTheme="majorBidi" w:hAnsiTheme="majorBidi" w:cstheme="majorBidi"/>
          <w:sz w:val="24"/>
          <w:szCs w:val="24"/>
          <w:lang w:bidi="ar-IQ"/>
        </w:rPr>
        <w:t>.</w:t>
      </w:r>
    </w:p>
    <w:p w:rsidR="00706C94" w:rsidRPr="002906BC" w:rsidRDefault="00F70A9A"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w:t>
      </w:r>
      <w:r w:rsidR="00964C8C" w:rsidRPr="002906BC">
        <w:rPr>
          <w:rFonts w:asciiTheme="majorBidi" w:hAnsiTheme="majorBidi" w:cstheme="majorBidi"/>
          <w:sz w:val="24"/>
          <w:szCs w:val="24"/>
          <w:lang w:bidi="ar-IQ"/>
        </w:rPr>
        <w:t xml:space="preserve">In the studied case control study, the CTLA-4 +49A&gt;G genotype frequencies in </w:t>
      </w:r>
      <w:r w:rsidR="00C24DE0" w:rsidRPr="002906BC">
        <w:rPr>
          <w:rFonts w:asciiTheme="majorBidi" w:hAnsiTheme="majorBidi" w:cstheme="majorBidi"/>
          <w:sz w:val="24"/>
          <w:szCs w:val="24"/>
          <w:lang w:bidi="ar-IQ"/>
        </w:rPr>
        <w:t xml:space="preserve">Type 1 diabetes mellitus </w:t>
      </w:r>
      <w:r w:rsidR="00964C8C" w:rsidRPr="002906BC">
        <w:rPr>
          <w:rFonts w:asciiTheme="majorBidi" w:hAnsiTheme="majorBidi" w:cstheme="majorBidi"/>
          <w:sz w:val="24"/>
          <w:szCs w:val="24"/>
          <w:lang w:bidi="ar-IQ"/>
        </w:rPr>
        <w:t xml:space="preserve"> patients were detected with the following disposition: the frequencies of GG, GA and AA genotype were </w:t>
      </w:r>
      <w:r w:rsidR="00C24DE0" w:rsidRPr="002906BC">
        <w:rPr>
          <w:rFonts w:asciiTheme="majorBidi" w:hAnsiTheme="majorBidi" w:cstheme="majorBidi"/>
          <w:sz w:val="24"/>
          <w:szCs w:val="24"/>
          <w:lang w:bidi="ar-IQ"/>
        </w:rPr>
        <w:t>13.3</w:t>
      </w:r>
      <w:r w:rsidR="00964C8C" w:rsidRPr="002906BC">
        <w:rPr>
          <w:rFonts w:asciiTheme="majorBidi" w:hAnsiTheme="majorBidi" w:cstheme="majorBidi"/>
          <w:sz w:val="24"/>
          <w:szCs w:val="24"/>
          <w:lang w:bidi="ar-IQ"/>
        </w:rPr>
        <w:t>% (</w:t>
      </w:r>
      <w:r w:rsidR="00C24DE0" w:rsidRPr="002906BC">
        <w:rPr>
          <w:rFonts w:asciiTheme="majorBidi" w:hAnsiTheme="majorBidi" w:cstheme="majorBidi"/>
          <w:sz w:val="24"/>
          <w:szCs w:val="24"/>
          <w:lang w:bidi="ar-IQ"/>
        </w:rPr>
        <w:t>8</w:t>
      </w:r>
      <w:r w:rsidR="00964C8C" w:rsidRPr="002906BC">
        <w:rPr>
          <w:rFonts w:asciiTheme="majorBidi" w:hAnsiTheme="majorBidi" w:cstheme="majorBidi"/>
          <w:sz w:val="24"/>
          <w:szCs w:val="24"/>
          <w:lang w:bidi="ar-IQ"/>
        </w:rPr>
        <w:t>/</w:t>
      </w:r>
      <w:r w:rsidR="00C24DE0" w:rsidRPr="002906BC">
        <w:rPr>
          <w:rFonts w:asciiTheme="majorBidi" w:hAnsiTheme="majorBidi" w:cstheme="majorBidi"/>
          <w:sz w:val="24"/>
          <w:szCs w:val="24"/>
          <w:lang w:bidi="ar-IQ"/>
        </w:rPr>
        <w:t>60</w:t>
      </w:r>
      <w:r w:rsidR="00964C8C" w:rsidRPr="002906BC">
        <w:rPr>
          <w:rFonts w:asciiTheme="majorBidi" w:hAnsiTheme="majorBidi" w:cstheme="majorBidi"/>
          <w:sz w:val="24"/>
          <w:szCs w:val="24"/>
          <w:lang w:bidi="ar-IQ"/>
        </w:rPr>
        <w:t xml:space="preserve">), </w:t>
      </w:r>
      <w:r w:rsidR="00C24DE0" w:rsidRPr="002906BC">
        <w:rPr>
          <w:rFonts w:asciiTheme="majorBidi" w:hAnsiTheme="majorBidi" w:cstheme="majorBidi"/>
          <w:sz w:val="24"/>
          <w:szCs w:val="24"/>
          <w:lang w:bidi="ar-IQ"/>
        </w:rPr>
        <w:t>48.4</w:t>
      </w:r>
      <w:r w:rsidR="00964C8C" w:rsidRPr="002906BC">
        <w:rPr>
          <w:rFonts w:asciiTheme="majorBidi" w:hAnsiTheme="majorBidi" w:cstheme="majorBidi"/>
          <w:sz w:val="24"/>
          <w:szCs w:val="24"/>
          <w:lang w:bidi="ar-IQ"/>
        </w:rPr>
        <w:t>% (</w:t>
      </w:r>
      <w:r w:rsidR="00C24DE0" w:rsidRPr="002906BC">
        <w:rPr>
          <w:rFonts w:asciiTheme="majorBidi" w:hAnsiTheme="majorBidi" w:cstheme="majorBidi"/>
          <w:sz w:val="24"/>
          <w:szCs w:val="24"/>
          <w:lang w:bidi="ar-IQ"/>
        </w:rPr>
        <w:t>29</w:t>
      </w:r>
      <w:r w:rsidR="00964C8C" w:rsidRPr="002906BC">
        <w:rPr>
          <w:rFonts w:asciiTheme="majorBidi" w:hAnsiTheme="majorBidi" w:cstheme="majorBidi"/>
          <w:sz w:val="24"/>
          <w:szCs w:val="24"/>
          <w:lang w:bidi="ar-IQ"/>
        </w:rPr>
        <w:t>/</w:t>
      </w:r>
      <w:r w:rsidR="00C24DE0" w:rsidRPr="002906BC">
        <w:rPr>
          <w:rFonts w:asciiTheme="majorBidi" w:hAnsiTheme="majorBidi" w:cstheme="majorBidi"/>
          <w:sz w:val="24"/>
          <w:szCs w:val="24"/>
          <w:lang w:bidi="ar-IQ"/>
        </w:rPr>
        <w:t>60</w:t>
      </w:r>
      <w:r w:rsidR="00964C8C" w:rsidRPr="002906BC">
        <w:rPr>
          <w:rFonts w:asciiTheme="majorBidi" w:hAnsiTheme="majorBidi" w:cstheme="majorBidi"/>
          <w:sz w:val="24"/>
          <w:szCs w:val="24"/>
          <w:lang w:bidi="ar-IQ"/>
        </w:rPr>
        <w:t xml:space="preserve">) and </w:t>
      </w:r>
      <w:r w:rsidR="00C24DE0" w:rsidRPr="002906BC">
        <w:rPr>
          <w:rFonts w:asciiTheme="majorBidi" w:hAnsiTheme="majorBidi" w:cstheme="majorBidi"/>
          <w:sz w:val="24"/>
          <w:szCs w:val="24"/>
          <w:lang w:bidi="ar-IQ"/>
        </w:rPr>
        <w:t>38.3</w:t>
      </w:r>
      <w:r w:rsidR="00964C8C" w:rsidRPr="002906BC">
        <w:rPr>
          <w:rFonts w:asciiTheme="majorBidi" w:hAnsiTheme="majorBidi" w:cstheme="majorBidi"/>
          <w:sz w:val="24"/>
          <w:szCs w:val="24"/>
          <w:lang w:bidi="ar-IQ"/>
        </w:rPr>
        <w:t>% (</w:t>
      </w:r>
      <w:r w:rsidR="00C24DE0" w:rsidRPr="002906BC">
        <w:rPr>
          <w:rFonts w:asciiTheme="majorBidi" w:hAnsiTheme="majorBidi" w:cstheme="majorBidi"/>
          <w:sz w:val="24"/>
          <w:szCs w:val="24"/>
          <w:lang w:bidi="ar-IQ"/>
        </w:rPr>
        <w:t>23</w:t>
      </w:r>
      <w:r w:rsidR="00964C8C" w:rsidRPr="002906BC">
        <w:rPr>
          <w:rFonts w:asciiTheme="majorBidi" w:hAnsiTheme="majorBidi" w:cstheme="majorBidi"/>
          <w:sz w:val="24"/>
          <w:szCs w:val="24"/>
          <w:lang w:bidi="ar-IQ"/>
        </w:rPr>
        <w:t>/</w:t>
      </w:r>
      <w:r w:rsidR="00C24DE0" w:rsidRPr="002906BC">
        <w:rPr>
          <w:rFonts w:asciiTheme="majorBidi" w:hAnsiTheme="majorBidi" w:cstheme="majorBidi"/>
          <w:sz w:val="24"/>
          <w:szCs w:val="24"/>
          <w:lang w:bidi="ar-IQ"/>
        </w:rPr>
        <w:t>60</w:t>
      </w:r>
      <w:r w:rsidR="00964C8C" w:rsidRPr="002906BC">
        <w:rPr>
          <w:rFonts w:asciiTheme="majorBidi" w:hAnsiTheme="majorBidi" w:cstheme="majorBidi"/>
          <w:sz w:val="24"/>
          <w:szCs w:val="24"/>
          <w:lang w:bidi="ar-IQ"/>
        </w:rPr>
        <w:t xml:space="preserve">), respectively. The genotype distributions were in Hardy-Weinberg equilibrium. The distribution of CTLA-4 +49A&gt;G genotypes and allele frequencies were analyzed with regard to </w:t>
      </w:r>
      <w:r w:rsidR="0023092D" w:rsidRPr="002906BC">
        <w:rPr>
          <w:rFonts w:asciiTheme="majorBidi" w:hAnsiTheme="majorBidi" w:cstheme="majorBidi"/>
          <w:sz w:val="24"/>
          <w:szCs w:val="24"/>
          <w:lang w:bidi="ar-IQ"/>
        </w:rPr>
        <w:t>clinic pathologic</w:t>
      </w:r>
      <w:r w:rsidR="00964C8C" w:rsidRPr="002906BC">
        <w:rPr>
          <w:rFonts w:asciiTheme="majorBidi" w:hAnsiTheme="majorBidi" w:cstheme="majorBidi"/>
          <w:sz w:val="24"/>
          <w:szCs w:val="24"/>
          <w:lang w:bidi="ar-IQ"/>
        </w:rPr>
        <w:t xml:space="preserve"> characteristics of </w:t>
      </w:r>
      <w:r w:rsidR="00C24DE0" w:rsidRPr="002906BC">
        <w:rPr>
          <w:rFonts w:asciiTheme="majorBidi" w:hAnsiTheme="majorBidi" w:cstheme="majorBidi"/>
          <w:sz w:val="24"/>
          <w:szCs w:val="24"/>
          <w:lang w:bidi="ar-IQ"/>
        </w:rPr>
        <w:t>diabetes mellitus</w:t>
      </w:r>
      <w:r w:rsidR="00964C8C" w:rsidRPr="002906BC">
        <w:rPr>
          <w:rFonts w:asciiTheme="majorBidi" w:hAnsiTheme="majorBidi" w:cstheme="majorBidi"/>
          <w:sz w:val="24"/>
          <w:szCs w:val="24"/>
          <w:lang w:bidi="ar-IQ"/>
        </w:rPr>
        <w:t xml:space="preserve"> patients. However, there were no significant differences between the presence of CTLA-4 +49A&gt;G polymorphisms and </w:t>
      </w:r>
      <w:proofErr w:type="spellStart"/>
      <w:r w:rsidR="00C24DE0" w:rsidRPr="002906BC">
        <w:rPr>
          <w:rFonts w:asciiTheme="majorBidi" w:hAnsiTheme="majorBidi" w:cstheme="majorBidi"/>
          <w:sz w:val="24"/>
          <w:szCs w:val="24"/>
          <w:lang w:bidi="ar-IQ"/>
        </w:rPr>
        <w:t>Codominant</w:t>
      </w:r>
      <w:proofErr w:type="spellEnd"/>
      <w:r w:rsidR="00964C8C" w:rsidRPr="002906BC">
        <w:rPr>
          <w:rFonts w:asciiTheme="majorBidi" w:hAnsiTheme="majorBidi" w:cstheme="majorBidi"/>
          <w:sz w:val="24"/>
          <w:szCs w:val="24"/>
          <w:lang w:bidi="ar-IQ"/>
        </w:rPr>
        <w:t xml:space="preserve">, </w:t>
      </w:r>
      <w:r w:rsidR="00C24DE0" w:rsidRPr="002906BC">
        <w:rPr>
          <w:rFonts w:asciiTheme="majorBidi" w:hAnsiTheme="majorBidi" w:cstheme="majorBidi"/>
          <w:sz w:val="24"/>
          <w:szCs w:val="24"/>
          <w:lang w:bidi="ar-IQ"/>
        </w:rPr>
        <w:t>Dominant</w:t>
      </w:r>
      <w:r w:rsidR="00964C8C" w:rsidRPr="002906BC">
        <w:rPr>
          <w:rFonts w:asciiTheme="majorBidi" w:hAnsiTheme="majorBidi" w:cstheme="majorBidi"/>
          <w:sz w:val="24"/>
          <w:szCs w:val="24"/>
          <w:lang w:bidi="ar-IQ"/>
        </w:rPr>
        <w:t xml:space="preserve"> type, </w:t>
      </w:r>
      <w:r w:rsidR="00C24DE0" w:rsidRPr="002906BC">
        <w:rPr>
          <w:rFonts w:asciiTheme="majorBidi" w:hAnsiTheme="majorBidi" w:cstheme="majorBidi"/>
          <w:sz w:val="24"/>
          <w:szCs w:val="24"/>
        </w:rPr>
        <w:t>Recessive</w:t>
      </w:r>
      <w:r w:rsidR="00C24DE0" w:rsidRPr="002906BC">
        <w:rPr>
          <w:rFonts w:asciiTheme="majorBidi" w:hAnsiTheme="majorBidi" w:cstheme="majorBidi"/>
          <w:sz w:val="24"/>
          <w:szCs w:val="24"/>
          <w:lang w:bidi="ar-IQ"/>
        </w:rPr>
        <w:t xml:space="preserve"> and additive  </w:t>
      </w:r>
      <w:r w:rsidR="00964C8C" w:rsidRPr="002906BC">
        <w:rPr>
          <w:rFonts w:asciiTheme="majorBidi" w:hAnsiTheme="majorBidi" w:cstheme="majorBidi"/>
          <w:sz w:val="24"/>
          <w:szCs w:val="24"/>
          <w:lang w:bidi="ar-IQ"/>
        </w:rPr>
        <w:t xml:space="preserve"> (CEA and CYFRA21-1) in these cases (table 2).</w:t>
      </w:r>
    </w:p>
    <w:p w:rsidR="009E2D1B" w:rsidRPr="002906BC" w:rsidRDefault="009E2D1B" w:rsidP="00E87161">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lastRenderedPageBreak/>
        <w:t>Gene CTLA-4 (+49A/G)</w:t>
      </w:r>
      <w:r w:rsidR="003E58F5" w:rsidRPr="002906BC">
        <w:rPr>
          <w:rFonts w:asciiTheme="majorBidi" w:hAnsiTheme="majorBidi" w:cstheme="majorBidi"/>
          <w:sz w:val="24"/>
          <w:szCs w:val="24"/>
          <w:lang w:bidi="ar-IQ"/>
        </w:rPr>
        <w:t xml:space="preserve"> polymorphism </w:t>
      </w:r>
      <w:proofErr w:type="gramStart"/>
      <w:r w:rsidR="003E58F5" w:rsidRPr="002906BC">
        <w:rPr>
          <w:rFonts w:asciiTheme="majorBidi" w:hAnsiTheme="majorBidi" w:cstheme="majorBidi"/>
          <w:sz w:val="24"/>
          <w:szCs w:val="24"/>
          <w:lang w:bidi="ar-IQ"/>
        </w:rPr>
        <w:t xml:space="preserve">has </w:t>
      </w:r>
      <w:r w:rsidRPr="002906BC">
        <w:rPr>
          <w:rFonts w:asciiTheme="majorBidi" w:hAnsiTheme="majorBidi" w:cstheme="majorBidi"/>
          <w:sz w:val="24"/>
          <w:szCs w:val="24"/>
          <w:lang w:bidi="ar-IQ"/>
        </w:rPr>
        <w:t xml:space="preserve"> heightened</w:t>
      </w:r>
      <w:proofErr w:type="gramEnd"/>
      <w:r w:rsidRPr="002906BC">
        <w:rPr>
          <w:rFonts w:asciiTheme="majorBidi" w:hAnsiTheme="majorBidi" w:cstheme="majorBidi"/>
          <w:sz w:val="24"/>
          <w:szCs w:val="24"/>
          <w:lang w:bidi="ar-IQ"/>
        </w:rPr>
        <w:t xml:space="preserve"> risk of some diseases, such as autoimmune thyroiditis Graves' disease</w:t>
      </w:r>
      <w:r w:rsidR="00E87161" w:rsidRPr="002906BC">
        <w:rPr>
          <w:rFonts w:asciiTheme="majorBidi" w:hAnsiTheme="majorBidi" w:cstheme="majorBidi"/>
          <w:sz w:val="24"/>
          <w:szCs w:val="24"/>
          <w:lang w:bidi="ar-IQ"/>
        </w:rPr>
        <w:t xml:space="preserve"> </w:t>
      </w:r>
      <w:r w:rsidR="003E58F5" w:rsidRPr="002906BC">
        <w:rPr>
          <w:rFonts w:asciiTheme="majorBidi" w:hAnsiTheme="majorBidi" w:cstheme="majorBidi"/>
          <w:sz w:val="24"/>
          <w:szCs w:val="24"/>
          <w:lang w:bidi="ar-IQ"/>
        </w:rPr>
        <w:t xml:space="preserve"> (</w:t>
      </w:r>
      <w:proofErr w:type="spellStart"/>
      <w:r w:rsidR="00E87161" w:rsidRPr="002906BC">
        <w:rPr>
          <w:rFonts w:asciiTheme="majorBidi" w:hAnsiTheme="majorBidi" w:cstheme="majorBidi"/>
          <w:sz w:val="24"/>
          <w:szCs w:val="24"/>
          <w:lang w:bidi="ar-IQ"/>
        </w:rPr>
        <w:t>Pastuszak</w:t>
      </w:r>
      <w:proofErr w:type="spellEnd"/>
      <w:r w:rsidR="00E87161" w:rsidRPr="002906BC">
        <w:rPr>
          <w:rFonts w:asciiTheme="majorBidi" w:hAnsiTheme="majorBidi" w:cstheme="majorBidi"/>
          <w:sz w:val="24"/>
          <w:szCs w:val="24"/>
          <w:lang w:bidi="ar-IQ"/>
        </w:rPr>
        <w:t xml:space="preserve"> et al., 2012</w:t>
      </w:r>
      <w:r w:rsidR="003E58F5" w:rsidRPr="002906BC">
        <w:rPr>
          <w:rFonts w:asciiTheme="majorBidi" w:hAnsiTheme="majorBidi" w:cstheme="majorBidi"/>
          <w:sz w:val="24"/>
          <w:szCs w:val="24"/>
          <w:lang w:bidi="ar-IQ"/>
        </w:rPr>
        <w:t>) and</w:t>
      </w:r>
      <w:r w:rsidR="00E87161" w:rsidRPr="002906BC">
        <w:rPr>
          <w:rFonts w:asciiTheme="majorBidi" w:hAnsiTheme="majorBidi" w:cstheme="majorBidi"/>
          <w:sz w:val="24"/>
          <w:szCs w:val="24"/>
          <w:lang w:bidi="ar-IQ"/>
        </w:rPr>
        <w:t xml:space="preserve"> hepatocellular carcinoma</w:t>
      </w:r>
      <w:r w:rsidR="003E58F5" w:rsidRPr="002906BC">
        <w:rPr>
          <w:rFonts w:asciiTheme="majorBidi" w:hAnsiTheme="majorBidi" w:cstheme="majorBidi"/>
          <w:sz w:val="24"/>
          <w:szCs w:val="24"/>
          <w:lang w:bidi="ar-IQ"/>
        </w:rPr>
        <w:t xml:space="preserve"> </w:t>
      </w:r>
      <w:r w:rsidR="00E87161" w:rsidRPr="002906BC">
        <w:rPr>
          <w:rFonts w:asciiTheme="majorBidi" w:hAnsiTheme="majorBidi" w:cstheme="majorBidi"/>
          <w:sz w:val="24"/>
          <w:szCs w:val="24"/>
          <w:lang w:bidi="ar-IQ"/>
        </w:rPr>
        <w:t>(Liu et al., 2015)</w:t>
      </w:r>
      <w:r w:rsidRPr="002906BC">
        <w:rPr>
          <w:rFonts w:asciiTheme="majorBidi" w:hAnsiTheme="majorBidi" w:cstheme="majorBidi"/>
          <w:sz w:val="24"/>
          <w:szCs w:val="24"/>
          <w:lang w:bidi="ar-IQ"/>
        </w:rPr>
        <w:t>,</w:t>
      </w:r>
      <w:r w:rsidR="003E58F5" w:rsidRPr="002906BC">
        <w:rPr>
          <w:rFonts w:asciiTheme="majorBidi" w:hAnsiTheme="majorBidi" w:cstheme="majorBidi"/>
          <w:sz w:val="24"/>
          <w:szCs w:val="24"/>
          <w:lang w:bidi="ar-IQ"/>
        </w:rPr>
        <w:t xml:space="preserve">thus </w:t>
      </w:r>
      <w:r w:rsidRPr="002906BC">
        <w:rPr>
          <w:rFonts w:asciiTheme="majorBidi" w:hAnsiTheme="majorBidi" w:cstheme="majorBidi"/>
          <w:sz w:val="24"/>
          <w:szCs w:val="24"/>
          <w:lang w:bidi="ar-IQ"/>
        </w:rPr>
        <w:t xml:space="preserve"> </w:t>
      </w:r>
      <w:r w:rsidR="00E87161" w:rsidRPr="002906BC">
        <w:rPr>
          <w:rFonts w:asciiTheme="majorBidi" w:hAnsiTheme="majorBidi" w:cstheme="majorBidi"/>
          <w:sz w:val="24"/>
          <w:szCs w:val="24"/>
          <w:lang w:bidi="ar-IQ"/>
        </w:rPr>
        <w:t xml:space="preserve">are </w:t>
      </w:r>
      <w:r w:rsidRPr="002906BC">
        <w:rPr>
          <w:rFonts w:asciiTheme="majorBidi" w:hAnsiTheme="majorBidi" w:cstheme="majorBidi"/>
          <w:sz w:val="24"/>
          <w:szCs w:val="24"/>
          <w:lang w:bidi="ar-IQ"/>
        </w:rPr>
        <w:t xml:space="preserve"> linked to polymorphism. As a result, a simple and reliable approach for detecting this polymorphism is required.</w:t>
      </w:r>
    </w:p>
    <w:tbl>
      <w:tblPr>
        <w:tblStyle w:val="MediumShading2-Accent1"/>
        <w:bidiVisual/>
        <w:tblW w:w="8414" w:type="dxa"/>
        <w:tblLayout w:type="fixed"/>
        <w:tblLook w:val="04A0" w:firstRow="1" w:lastRow="0" w:firstColumn="1" w:lastColumn="0" w:noHBand="0" w:noVBand="1"/>
      </w:tblPr>
      <w:tblGrid>
        <w:gridCol w:w="992"/>
        <w:gridCol w:w="1225"/>
        <w:gridCol w:w="334"/>
        <w:gridCol w:w="901"/>
        <w:gridCol w:w="1560"/>
        <w:gridCol w:w="850"/>
        <w:gridCol w:w="992"/>
        <w:gridCol w:w="1560"/>
      </w:tblGrid>
      <w:tr w:rsidR="00964C8C" w:rsidRPr="002906BC" w:rsidTr="00275B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 w:type="dxa"/>
            <w:hideMark/>
          </w:tcPr>
          <w:p w:rsidR="00964C8C" w:rsidRPr="002906BC" w:rsidRDefault="00964C8C" w:rsidP="00275B2E">
            <w:pPr>
              <w:autoSpaceDE w:val="0"/>
              <w:autoSpaceDN w:val="0"/>
              <w:bidi w:val="0"/>
              <w:adjustRightInd w:val="0"/>
              <w:spacing w:line="276" w:lineRule="auto"/>
              <w:jc w:val="center"/>
              <w:rPr>
                <w:rFonts w:asciiTheme="majorBidi" w:hAnsiTheme="majorBidi" w:cstheme="majorBidi"/>
                <w:b w:val="0"/>
                <w:bCs w:val="0"/>
                <w:sz w:val="18"/>
                <w:szCs w:val="18"/>
                <w:rtl/>
              </w:rPr>
            </w:pPr>
          </w:p>
          <w:p w:rsidR="00964C8C" w:rsidRPr="002906BC" w:rsidRDefault="00964C8C" w:rsidP="00275B2E">
            <w:pPr>
              <w:spacing w:line="276" w:lineRule="auto"/>
              <w:jc w:val="center"/>
              <w:rPr>
                <w:rFonts w:asciiTheme="majorBidi" w:hAnsiTheme="majorBidi" w:cstheme="majorBidi"/>
                <w:sz w:val="18"/>
                <w:szCs w:val="18"/>
                <w:lang w:bidi="ar-IQ"/>
              </w:rPr>
            </w:pPr>
            <w:r w:rsidRPr="002906BC">
              <w:rPr>
                <w:rFonts w:asciiTheme="majorBidi" w:hAnsiTheme="majorBidi" w:cstheme="majorBidi"/>
                <w:sz w:val="18"/>
                <w:szCs w:val="18"/>
              </w:rPr>
              <w:t>value</w:t>
            </w:r>
          </w:p>
        </w:tc>
        <w:tc>
          <w:tcPr>
            <w:tcW w:w="1559" w:type="dxa"/>
            <w:gridSpan w:val="2"/>
          </w:tcPr>
          <w:p w:rsidR="00964C8C" w:rsidRPr="002906BC" w:rsidRDefault="00964C8C"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tl/>
              </w:rPr>
            </w:pPr>
            <w:r w:rsidRPr="002906BC">
              <w:rPr>
                <w:rFonts w:asciiTheme="majorBidi" w:hAnsiTheme="majorBidi" w:cstheme="majorBidi"/>
                <w:sz w:val="18"/>
                <w:szCs w:val="18"/>
              </w:rPr>
              <w:t>Adjusted OR</w:t>
            </w:r>
          </w:p>
          <w:p w:rsidR="00964C8C" w:rsidRPr="002906BC" w:rsidRDefault="00964C8C"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sidRPr="002906BC">
              <w:rPr>
                <w:rFonts w:asciiTheme="majorBidi" w:hAnsiTheme="majorBidi" w:cstheme="majorBidi"/>
                <w:sz w:val="18"/>
                <w:szCs w:val="18"/>
              </w:rPr>
              <w:t>(95%CI)</w:t>
            </w:r>
          </w:p>
          <w:p w:rsidR="00964C8C" w:rsidRPr="002906BC" w:rsidRDefault="00964C8C" w:rsidP="00275B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bidi="ar-IQ"/>
              </w:rPr>
            </w:pPr>
          </w:p>
        </w:tc>
        <w:tc>
          <w:tcPr>
            <w:tcW w:w="901" w:type="dxa"/>
          </w:tcPr>
          <w:p w:rsidR="00964C8C" w:rsidRPr="002906BC" w:rsidRDefault="00964C8C"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tl/>
              </w:rPr>
            </w:pPr>
            <w:r w:rsidRPr="002906BC">
              <w:rPr>
                <w:rFonts w:asciiTheme="majorBidi" w:hAnsiTheme="majorBidi" w:cstheme="majorBidi"/>
                <w:sz w:val="18"/>
                <w:szCs w:val="18"/>
              </w:rPr>
              <w:t>P</w:t>
            </w:r>
          </w:p>
          <w:p w:rsidR="00964C8C" w:rsidRPr="002906BC" w:rsidRDefault="00964C8C"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sidRPr="002906BC">
              <w:rPr>
                <w:rFonts w:asciiTheme="majorBidi" w:hAnsiTheme="majorBidi" w:cstheme="majorBidi"/>
                <w:sz w:val="18"/>
                <w:szCs w:val="18"/>
              </w:rPr>
              <w:t>value</w:t>
            </w:r>
          </w:p>
          <w:p w:rsidR="00964C8C" w:rsidRPr="002906BC" w:rsidRDefault="00964C8C" w:rsidP="00275B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bidi="ar-IQ"/>
              </w:rPr>
            </w:pPr>
          </w:p>
        </w:tc>
        <w:tc>
          <w:tcPr>
            <w:tcW w:w="1560" w:type="dxa"/>
          </w:tcPr>
          <w:p w:rsidR="00964C8C" w:rsidRPr="002906BC" w:rsidRDefault="00964C8C"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tl/>
              </w:rPr>
            </w:pPr>
            <w:r w:rsidRPr="002906BC">
              <w:rPr>
                <w:rFonts w:asciiTheme="majorBidi" w:hAnsiTheme="majorBidi" w:cstheme="majorBidi"/>
                <w:sz w:val="18"/>
                <w:szCs w:val="18"/>
              </w:rPr>
              <w:t>Unadjusted OR</w:t>
            </w:r>
          </w:p>
          <w:p w:rsidR="00964C8C" w:rsidRPr="002906BC" w:rsidRDefault="00964C8C"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sidRPr="002906BC">
              <w:rPr>
                <w:rFonts w:asciiTheme="majorBidi" w:hAnsiTheme="majorBidi" w:cstheme="majorBidi"/>
                <w:sz w:val="18"/>
                <w:szCs w:val="18"/>
              </w:rPr>
              <w:t>(95% CI)</w:t>
            </w:r>
          </w:p>
          <w:p w:rsidR="00964C8C" w:rsidRPr="002906BC" w:rsidRDefault="00964C8C" w:rsidP="00275B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bidi="ar-IQ"/>
              </w:rPr>
            </w:pPr>
          </w:p>
        </w:tc>
        <w:tc>
          <w:tcPr>
            <w:tcW w:w="850" w:type="dxa"/>
          </w:tcPr>
          <w:p w:rsidR="00964C8C" w:rsidRPr="002906BC" w:rsidRDefault="00964C8C"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tl/>
              </w:rPr>
            </w:pPr>
            <w:r w:rsidRPr="002906BC">
              <w:rPr>
                <w:rFonts w:asciiTheme="majorBidi" w:hAnsiTheme="majorBidi" w:cstheme="majorBidi"/>
                <w:sz w:val="18"/>
                <w:szCs w:val="18"/>
              </w:rPr>
              <w:t>Control</w:t>
            </w:r>
          </w:p>
          <w:p w:rsidR="00964C8C" w:rsidRPr="002906BC" w:rsidRDefault="00964C8C"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sidRPr="002906BC">
              <w:rPr>
                <w:rFonts w:asciiTheme="majorBidi" w:hAnsiTheme="majorBidi" w:cstheme="majorBidi"/>
                <w:sz w:val="18"/>
                <w:szCs w:val="18"/>
              </w:rPr>
              <w:t>n=40</w:t>
            </w:r>
          </w:p>
          <w:p w:rsidR="00964C8C" w:rsidRPr="002906BC" w:rsidRDefault="00964C8C" w:rsidP="00275B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bidi="ar-IQ"/>
              </w:rPr>
            </w:pPr>
          </w:p>
        </w:tc>
        <w:tc>
          <w:tcPr>
            <w:tcW w:w="992" w:type="dxa"/>
          </w:tcPr>
          <w:p w:rsidR="00275B2E" w:rsidRPr="002906BC" w:rsidRDefault="00275B2E"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p>
          <w:p w:rsidR="00964C8C" w:rsidRPr="002906BC" w:rsidRDefault="00964C8C"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tl/>
              </w:rPr>
            </w:pPr>
            <w:r w:rsidRPr="002906BC">
              <w:rPr>
                <w:rFonts w:asciiTheme="majorBidi" w:hAnsiTheme="majorBidi" w:cstheme="majorBidi"/>
                <w:sz w:val="18"/>
                <w:szCs w:val="18"/>
              </w:rPr>
              <w:t>Patient</w:t>
            </w:r>
          </w:p>
          <w:p w:rsidR="00964C8C" w:rsidRPr="002906BC" w:rsidRDefault="00964C8C"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sidRPr="002906BC">
              <w:rPr>
                <w:rFonts w:asciiTheme="majorBidi" w:hAnsiTheme="majorBidi" w:cstheme="majorBidi"/>
                <w:sz w:val="18"/>
                <w:szCs w:val="18"/>
              </w:rPr>
              <w:t>n=60</w:t>
            </w:r>
          </w:p>
          <w:p w:rsidR="00964C8C" w:rsidRPr="002906BC" w:rsidRDefault="00964C8C" w:rsidP="00275B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bidi="ar-IQ"/>
              </w:rPr>
            </w:pPr>
          </w:p>
        </w:tc>
        <w:tc>
          <w:tcPr>
            <w:tcW w:w="1560" w:type="dxa"/>
          </w:tcPr>
          <w:p w:rsidR="00964C8C" w:rsidRPr="002906BC" w:rsidRDefault="00964C8C" w:rsidP="00275B2E">
            <w:pPr>
              <w:autoSpaceDE w:val="0"/>
              <w:autoSpaceDN w:val="0"/>
              <w:bidi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tl/>
              </w:rPr>
            </w:pPr>
            <w:r w:rsidRPr="002906BC">
              <w:rPr>
                <w:rFonts w:asciiTheme="majorBidi" w:hAnsiTheme="majorBidi" w:cstheme="majorBidi"/>
                <w:sz w:val="18"/>
                <w:szCs w:val="18"/>
              </w:rPr>
              <w:t>CTLA-4 (+49A/G) Gene Polymorphism</w:t>
            </w:r>
          </w:p>
          <w:p w:rsidR="00964C8C" w:rsidRPr="002906BC" w:rsidRDefault="00964C8C" w:rsidP="00275B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bidi="ar-IQ"/>
              </w:rPr>
            </w:pPr>
          </w:p>
        </w:tc>
      </w:tr>
      <w:tr w:rsidR="00964C8C" w:rsidRPr="002906BC" w:rsidTr="0027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4" w:type="dxa"/>
            <w:gridSpan w:val="7"/>
          </w:tcPr>
          <w:p w:rsidR="00964C8C" w:rsidRPr="002906BC" w:rsidRDefault="00964C8C" w:rsidP="00275B2E">
            <w:pPr>
              <w:spacing w:line="276" w:lineRule="auto"/>
              <w:jc w:val="right"/>
              <w:rPr>
                <w:rFonts w:asciiTheme="majorBidi" w:hAnsiTheme="majorBidi" w:cstheme="majorBidi"/>
                <w:sz w:val="20"/>
                <w:szCs w:val="20"/>
                <w:lang w:bidi="ar-IQ"/>
              </w:rPr>
            </w:pPr>
          </w:p>
        </w:tc>
        <w:tc>
          <w:tcPr>
            <w:tcW w:w="1560" w:type="dxa"/>
            <w:hideMark/>
          </w:tcPr>
          <w:p w:rsidR="00964C8C" w:rsidRPr="002906BC" w:rsidRDefault="00964C8C" w:rsidP="00275B2E">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roofErr w:type="spellStart"/>
            <w:r w:rsidRPr="002906BC">
              <w:rPr>
                <w:rFonts w:asciiTheme="majorBidi" w:hAnsiTheme="majorBidi" w:cstheme="majorBidi"/>
                <w:sz w:val="20"/>
                <w:szCs w:val="20"/>
              </w:rPr>
              <w:t>Codominant</w:t>
            </w:r>
            <w:proofErr w:type="spellEnd"/>
          </w:p>
        </w:tc>
      </w:tr>
      <w:tr w:rsidR="00964C8C" w:rsidRPr="002906BC" w:rsidTr="00275B2E">
        <w:tc>
          <w:tcPr>
            <w:cnfStyle w:val="001000000000" w:firstRow="0" w:lastRow="0" w:firstColumn="1" w:lastColumn="0" w:oddVBand="0" w:evenVBand="0" w:oddHBand="0" w:evenHBand="0" w:firstRowFirstColumn="0" w:firstRowLastColumn="0" w:lastRowFirstColumn="0" w:lastRowLastColumn="0"/>
            <w:tcW w:w="5012" w:type="dxa"/>
            <w:gridSpan w:val="5"/>
          </w:tcPr>
          <w:p w:rsidR="00964C8C" w:rsidRPr="002906BC" w:rsidRDefault="00964C8C" w:rsidP="00275B2E">
            <w:pPr>
              <w:spacing w:line="276" w:lineRule="auto"/>
              <w:jc w:val="center"/>
              <w:rPr>
                <w:rFonts w:asciiTheme="majorBidi" w:hAnsiTheme="majorBidi" w:cstheme="majorBidi"/>
                <w:sz w:val="20"/>
                <w:szCs w:val="20"/>
                <w:lang w:bidi="ar-IQ"/>
              </w:rPr>
            </w:pPr>
          </w:p>
        </w:tc>
        <w:tc>
          <w:tcPr>
            <w:tcW w:w="850" w:type="dxa"/>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10</w:t>
            </w:r>
          </w:p>
        </w:tc>
        <w:tc>
          <w:tcPr>
            <w:tcW w:w="992" w:type="dxa"/>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23</w:t>
            </w:r>
          </w:p>
        </w:tc>
        <w:tc>
          <w:tcPr>
            <w:tcW w:w="1560" w:type="dxa"/>
            <w:hideMark/>
          </w:tcPr>
          <w:p w:rsidR="00964C8C" w:rsidRPr="002906BC" w:rsidRDefault="00964C8C" w:rsidP="00275B2E">
            <w:pPr>
              <w:autoSpaceDE w:val="0"/>
              <w:autoSpaceDN w:val="0"/>
              <w:bidi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906BC">
              <w:rPr>
                <w:rFonts w:asciiTheme="majorBidi" w:hAnsiTheme="majorBidi" w:cstheme="majorBidi"/>
                <w:sz w:val="20"/>
                <w:szCs w:val="20"/>
              </w:rPr>
              <w:t xml:space="preserve">AA(Reference) </w:t>
            </w:r>
          </w:p>
        </w:tc>
      </w:tr>
      <w:tr w:rsidR="00964C8C" w:rsidRPr="002906BC" w:rsidTr="0027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rsidR="00964C8C" w:rsidRPr="002906BC" w:rsidRDefault="00964C8C" w:rsidP="00275B2E">
            <w:pPr>
              <w:spacing w:line="276" w:lineRule="auto"/>
              <w:jc w:val="center"/>
              <w:rPr>
                <w:rFonts w:asciiTheme="majorBidi" w:hAnsiTheme="majorBidi" w:cstheme="majorBidi"/>
                <w:sz w:val="20"/>
                <w:szCs w:val="20"/>
                <w:lang w:bidi="ar-IQ"/>
              </w:rPr>
            </w:pPr>
            <w:r w:rsidRPr="002906BC">
              <w:rPr>
                <w:rFonts w:asciiTheme="majorBidi" w:hAnsiTheme="majorBidi" w:cstheme="majorBidi"/>
                <w:sz w:val="20"/>
                <w:szCs w:val="20"/>
                <w:lang w:bidi="ar-IQ"/>
              </w:rPr>
              <w:t>0.33</w:t>
            </w:r>
          </w:p>
        </w:tc>
        <w:tc>
          <w:tcPr>
            <w:tcW w:w="1559" w:type="dxa"/>
            <w:gridSpan w:val="2"/>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lang w:bidi="ar-IQ"/>
              </w:rPr>
              <w:t>1.22</w:t>
            </w:r>
          </w:p>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(0.63-1.92)</w:t>
            </w:r>
          </w:p>
        </w:tc>
        <w:tc>
          <w:tcPr>
            <w:tcW w:w="901" w:type="dxa"/>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0.1</w:t>
            </w:r>
          </w:p>
        </w:tc>
        <w:tc>
          <w:tcPr>
            <w:tcW w:w="1560" w:type="dxa"/>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lang w:bidi="ar-IQ"/>
              </w:rPr>
              <w:t>1.9</w:t>
            </w:r>
          </w:p>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(0.75-4.76)</w:t>
            </w:r>
          </w:p>
        </w:tc>
        <w:tc>
          <w:tcPr>
            <w:tcW w:w="850" w:type="dxa"/>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24</w:t>
            </w:r>
          </w:p>
        </w:tc>
        <w:tc>
          <w:tcPr>
            <w:tcW w:w="992" w:type="dxa"/>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29</w:t>
            </w:r>
          </w:p>
        </w:tc>
        <w:tc>
          <w:tcPr>
            <w:tcW w:w="1560" w:type="dxa"/>
          </w:tcPr>
          <w:p w:rsidR="00964C8C" w:rsidRPr="002906BC" w:rsidRDefault="00964C8C" w:rsidP="00275B2E">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2906BC">
              <w:rPr>
                <w:rFonts w:asciiTheme="majorBidi" w:hAnsiTheme="majorBidi" w:cstheme="majorBidi"/>
                <w:sz w:val="20"/>
                <w:szCs w:val="20"/>
              </w:rPr>
              <w:t>AG</w:t>
            </w:r>
          </w:p>
          <w:p w:rsidR="00964C8C" w:rsidRPr="002906BC" w:rsidRDefault="00964C8C" w:rsidP="00275B2E">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
        </w:tc>
      </w:tr>
      <w:tr w:rsidR="00964C8C" w:rsidRPr="002906BC" w:rsidTr="00275B2E">
        <w:tc>
          <w:tcPr>
            <w:cnfStyle w:val="001000000000" w:firstRow="0" w:lastRow="0" w:firstColumn="1" w:lastColumn="0" w:oddVBand="0" w:evenVBand="0" w:oddHBand="0" w:evenHBand="0" w:firstRowFirstColumn="0" w:firstRowLastColumn="0" w:lastRowFirstColumn="0" w:lastRowLastColumn="0"/>
            <w:tcW w:w="992" w:type="dxa"/>
            <w:hideMark/>
          </w:tcPr>
          <w:p w:rsidR="00964C8C" w:rsidRPr="002906BC" w:rsidRDefault="00964C8C" w:rsidP="00275B2E">
            <w:pPr>
              <w:spacing w:line="276" w:lineRule="auto"/>
              <w:jc w:val="center"/>
              <w:rPr>
                <w:rFonts w:asciiTheme="majorBidi" w:hAnsiTheme="majorBidi" w:cstheme="majorBidi"/>
                <w:sz w:val="20"/>
                <w:szCs w:val="20"/>
                <w:lang w:bidi="ar-IQ"/>
              </w:rPr>
            </w:pPr>
            <w:r w:rsidRPr="002906BC">
              <w:rPr>
                <w:rFonts w:asciiTheme="majorBidi" w:hAnsiTheme="majorBidi" w:cstheme="majorBidi"/>
                <w:sz w:val="20"/>
                <w:szCs w:val="20"/>
                <w:lang w:bidi="ar-IQ"/>
              </w:rPr>
              <w:t>0.35</w:t>
            </w:r>
          </w:p>
        </w:tc>
        <w:tc>
          <w:tcPr>
            <w:tcW w:w="1559" w:type="dxa"/>
            <w:gridSpan w:val="2"/>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lang w:bidi="ar-IQ"/>
              </w:rPr>
              <w:t>1.32</w:t>
            </w:r>
          </w:p>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(0.73-1.92)</w:t>
            </w:r>
          </w:p>
        </w:tc>
        <w:tc>
          <w:tcPr>
            <w:tcW w:w="901" w:type="dxa"/>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0.48</w:t>
            </w:r>
          </w:p>
        </w:tc>
        <w:tc>
          <w:tcPr>
            <w:tcW w:w="1560" w:type="dxa"/>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lang w:bidi="ar-IQ"/>
              </w:rPr>
              <w:t>1.72</w:t>
            </w:r>
          </w:p>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(0.47-6.28)</w:t>
            </w:r>
          </w:p>
        </w:tc>
        <w:tc>
          <w:tcPr>
            <w:tcW w:w="850" w:type="dxa"/>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6</w:t>
            </w:r>
          </w:p>
        </w:tc>
        <w:tc>
          <w:tcPr>
            <w:tcW w:w="992" w:type="dxa"/>
            <w:hideMark/>
          </w:tcPr>
          <w:p w:rsidR="00964C8C" w:rsidRPr="002906BC" w:rsidRDefault="00964C8C" w:rsidP="00275B2E">
            <w:pPr>
              <w:tabs>
                <w:tab w:val="left" w:pos="380"/>
                <w:tab w:val="center" w:pos="459"/>
              </w:tabs>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ab/>
              <w:t>8</w:t>
            </w:r>
          </w:p>
        </w:tc>
        <w:tc>
          <w:tcPr>
            <w:tcW w:w="1560" w:type="dxa"/>
          </w:tcPr>
          <w:p w:rsidR="00964C8C" w:rsidRPr="002906BC" w:rsidRDefault="00964C8C" w:rsidP="00275B2E">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rPr>
              <w:t>GG</w:t>
            </w:r>
          </w:p>
          <w:p w:rsidR="00964C8C" w:rsidRPr="002906BC" w:rsidRDefault="00964C8C" w:rsidP="00275B2E">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p>
        </w:tc>
      </w:tr>
      <w:tr w:rsidR="00964C8C" w:rsidRPr="002906BC" w:rsidTr="0027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4" w:type="dxa"/>
            <w:gridSpan w:val="7"/>
          </w:tcPr>
          <w:p w:rsidR="00964C8C" w:rsidRPr="002906BC" w:rsidRDefault="00964C8C" w:rsidP="00275B2E">
            <w:pPr>
              <w:spacing w:line="276" w:lineRule="auto"/>
              <w:jc w:val="center"/>
              <w:rPr>
                <w:rFonts w:asciiTheme="majorBidi" w:hAnsiTheme="majorBidi" w:cstheme="majorBidi"/>
                <w:sz w:val="20"/>
                <w:szCs w:val="20"/>
                <w:lang w:bidi="ar-IQ"/>
              </w:rPr>
            </w:pPr>
          </w:p>
        </w:tc>
        <w:tc>
          <w:tcPr>
            <w:tcW w:w="1560" w:type="dxa"/>
            <w:hideMark/>
          </w:tcPr>
          <w:p w:rsidR="00964C8C" w:rsidRPr="002906BC" w:rsidRDefault="00964C8C" w:rsidP="00275B2E">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rPr>
              <w:t>Dominant</w:t>
            </w:r>
          </w:p>
        </w:tc>
      </w:tr>
      <w:tr w:rsidR="00964C8C" w:rsidRPr="002906BC" w:rsidTr="00275B2E">
        <w:tc>
          <w:tcPr>
            <w:cnfStyle w:val="001000000000" w:firstRow="0" w:lastRow="0" w:firstColumn="1" w:lastColumn="0" w:oddVBand="0" w:evenVBand="0" w:oddHBand="0" w:evenHBand="0" w:firstRowFirstColumn="0" w:firstRowLastColumn="0" w:lastRowFirstColumn="0" w:lastRowLastColumn="0"/>
            <w:tcW w:w="992" w:type="dxa"/>
            <w:hideMark/>
          </w:tcPr>
          <w:p w:rsidR="00964C8C" w:rsidRPr="002906BC" w:rsidRDefault="00964C8C" w:rsidP="00275B2E">
            <w:pPr>
              <w:bidi w:val="0"/>
              <w:spacing w:line="276" w:lineRule="auto"/>
              <w:jc w:val="center"/>
              <w:rPr>
                <w:rFonts w:asciiTheme="majorBidi" w:hAnsiTheme="majorBidi" w:cstheme="majorBidi"/>
                <w:sz w:val="20"/>
                <w:szCs w:val="20"/>
                <w:lang w:bidi="ar-IQ"/>
              </w:rPr>
            </w:pPr>
            <w:r w:rsidRPr="002906BC">
              <w:rPr>
                <w:rFonts w:asciiTheme="majorBidi" w:hAnsiTheme="majorBidi" w:cstheme="majorBidi"/>
                <w:sz w:val="20"/>
                <w:szCs w:val="20"/>
                <w:lang w:bidi="ar-IQ"/>
              </w:rPr>
              <w:t>0.37</w:t>
            </w:r>
          </w:p>
        </w:tc>
        <w:tc>
          <w:tcPr>
            <w:tcW w:w="1559" w:type="dxa"/>
            <w:gridSpan w:val="2"/>
            <w:hideMark/>
          </w:tcPr>
          <w:p w:rsidR="00964C8C" w:rsidRPr="002906BC" w:rsidRDefault="00964C8C" w:rsidP="00275B2E">
            <w:pPr>
              <w:bidi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lang w:bidi="ar-IQ"/>
              </w:rPr>
              <w:t>1.42</w:t>
            </w:r>
          </w:p>
          <w:p w:rsidR="00964C8C" w:rsidRPr="002906BC" w:rsidRDefault="00964C8C" w:rsidP="00275B2E">
            <w:pPr>
              <w:bidi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(0.71-1.87)</w:t>
            </w:r>
          </w:p>
        </w:tc>
        <w:tc>
          <w:tcPr>
            <w:tcW w:w="901" w:type="dxa"/>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0.16</w:t>
            </w:r>
          </w:p>
        </w:tc>
        <w:tc>
          <w:tcPr>
            <w:tcW w:w="1560" w:type="dxa"/>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lang w:bidi="ar-IQ"/>
              </w:rPr>
              <w:t>1.86</w:t>
            </w:r>
          </w:p>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(0.76-4.51)</w:t>
            </w:r>
          </w:p>
        </w:tc>
        <w:tc>
          <w:tcPr>
            <w:tcW w:w="850" w:type="dxa"/>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30</w:t>
            </w:r>
          </w:p>
        </w:tc>
        <w:tc>
          <w:tcPr>
            <w:tcW w:w="992" w:type="dxa"/>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37</w:t>
            </w:r>
          </w:p>
        </w:tc>
        <w:tc>
          <w:tcPr>
            <w:tcW w:w="1560" w:type="dxa"/>
          </w:tcPr>
          <w:p w:rsidR="00964C8C" w:rsidRPr="002906BC" w:rsidRDefault="00964C8C" w:rsidP="00275B2E">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rPr>
              <w:t>GG+AG</w:t>
            </w:r>
          </w:p>
          <w:p w:rsidR="00964C8C" w:rsidRPr="002906BC" w:rsidRDefault="00964C8C" w:rsidP="00275B2E">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p>
        </w:tc>
      </w:tr>
      <w:tr w:rsidR="00964C8C" w:rsidRPr="002906BC" w:rsidTr="0027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4" w:type="dxa"/>
            <w:gridSpan w:val="7"/>
          </w:tcPr>
          <w:p w:rsidR="00964C8C" w:rsidRPr="002906BC" w:rsidRDefault="00964C8C" w:rsidP="00275B2E">
            <w:pPr>
              <w:spacing w:line="276" w:lineRule="auto"/>
              <w:jc w:val="center"/>
              <w:rPr>
                <w:rFonts w:asciiTheme="majorBidi" w:hAnsiTheme="majorBidi" w:cstheme="majorBidi"/>
                <w:sz w:val="20"/>
                <w:szCs w:val="20"/>
                <w:lang w:bidi="ar-IQ"/>
              </w:rPr>
            </w:pPr>
          </w:p>
        </w:tc>
        <w:tc>
          <w:tcPr>
            <w:tcW w:w="1560" w:type="dxa"/>
            <w:hideMark/>
          </w:tcPr>
          <w:p w:rsidR="00964C8C" w:rsidRPr="002906BC" w:rsidRDefault="00964C8C" w:rsidP="00275B2E">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rPr>
              <w:t>Recessive</w:t>
            </w:r>
          </w:p>
        </w:tc>
      </w:tr>
      <w:tr w:rsidR="00964C8C" w:rsidRPr="002906BC" w:rsidTr="00275B2E">
        <w:tc>
          <w:tcPr>
            <w:cnfStyle w:val="001000000000" w:firstRow="0" w:lastRow="0" w:firstColumn="1" w:lastColumn="0" w:oddVBand="0" w:evenVBand="0" w:oddHBand="0" w:evenHBand="0" w:firstRowFirstColumn="0" w:firstRowLastColumn="0" w:lastRowFirstColumn="0" w:lastRowLastColumn="0"/>
            <w:tcW w:w="5012" w:type="dxa"/>
            <w:gridSpan w:val="5"/>
          </w:tcPr>
          <w:p w:rsidR="00964C8C" w:rsidRPr="002906BC" w:rsidRDefault="00964C8C" w:rsidP="00275B2E">
            <w:pPr>
              <w:spacing w:line="276" w:lineRule="auto"/>
              <w:jc w:val="center"/>
              <w:rPr>
                <w:rFonts w:asciiTheme="majorBidi" w:hAnsiTheme="majorBidi" w:cstheme="majorBidi"/>
                <w:sz w:val="20"/>
                <w:szCs w:val="20"/>
                <w:lang w:bidi="ar-IQ"/>
              </w:rPr>
            </w:pPr>
          </w:p>
        </w:tc>
        <w:tc>
          <w:tcPr>
            <w:tcW w:w="850" w:type="dxa"/>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34</w:t>
            </w:r>
          </w:p>
        </w:tc>
        <w:tc>
          <w:tcPr>
            <w:tcW w:w="992" w:type="dxa"/>
            <w:hideMark/>
          </w:tcPr>
          <w:p w:rsidR="00964C8C" w:rsidRPr="002906BC" w:rsidRDefault="00964C8C" w:rsidP="00275B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52</w:t>
            </w:r>
          </w:p>
        </w:tc>
        <w:tc>
          <w:tcPr>
            <w:tcW w:w="1560" w:type="dxa"/>
            <w:hideMark/>
          </w:tcPr>
          <w:p w:rsidR="00964C8C" w:rsidRPr="002906BC" w:rsidRDefault="00964C8C" w:rsidP="00275B2E">
            <w:pPr>
              <w:autoSpaceDE w:val="0"/>
              <w:autoSpaceDN w:val="0"/>
              <w:bidi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906BC">
              <w:rPr>
                <w:rFonts w:asciiTheme="majorBidi" w:hAnsiTheme="majorBidi" w:cstheme="majorBidi"/>
                <w:sz w:val="20"/>
                <w:szCs w:val="20"/>
              </w:rPr>
              <w:t xml:space="preserve">AA+AG(Reference) </w:t>
            </w:r>
          </w:p>
        </w:tc>
      </w:tr>
      <w:tr w:rsidR="00964C8C" w:rsidRPr="002906BC" w:rsidTr="0027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rsidR="00964C8C" w:rsidRPr="002906BC" w:rsidRDefault="00964C8C" w:rsidP="00275B2E">
            <w:pPr>
              <w:bidi w:val="0"/>
              <w:spacing w:line="276" w:lineRule="auto"/>
              <w:jc w:val="center"/>
              <w:rPr>
                <w:rFonts w:asciiTheme="majorBidi" w:hAnsiTheme="majorBidi" w:cstheme="majorBidi"/>
                <w:sz w:val="20"/>
                <w:szCs w:val="20"/>
                <w:lang w:bidi="ar-IQ"/>
              </w:rPr>
            </w:pPr>
            <w:r w:rsidRPr="002906BC">
              <w:rPr>
                <w:rFonts w:asciiTheme="majorBidi" w:hAnsiTheme="majorBidi" w:cstheme="majorBidi"/>
                <w:sz w:val="20"/>
                <w:szCs w:val="20"/>
                <w:lang w:bidi="ar-IQ"/>
              </w:rPr>
              <w:t>0.72</w:t>
            </w:r>
          </w:p>
        </w:tc>
        <w:tc>
          <w:tcPr>
            <w:tcW w:w="1559" w:type="dxa"/>
            <w:gridSpan w:val="2"/>
            <w:hideMark/>
          </w:tcPr>
          <w:p w:rsidR="00964C8C" w:rsidRPr="002906BC" w:rsidRDefault="00964C8C" w:rsidP="00275B2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lang w:bidi="ar-IQ"/>
              </w:rPr>
              <w:t>1.02</w:t>
            </w:r>
          </w:p>
          <w:p w:rsidR="00964C8C" w:rsidRPr="002906BC" w:rsidRDefault="00964C8C" w:rsidP="00275B2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(0.73-2.03)</w:t>
            </w:r>
          </w:p>
        </w:tc>
        <w:tc>
          <w:tcPr>
            <w:tcW w:w="901" w:type="dxa"/>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0.81</w:t>
            </w:r>
          </w:p>
        </w:tc>
        <w:tc>
          <w:tcPr>
            <w:tcW w:w="1560" w:type="dxa"/>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lang w:bidi="ar-IQ"/>
              </w:rPr>
              <w:t>1.14</w:t>
            </w:r>
          </w:p>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(0.36-3.55)</w:t>
            </w:r>
          </w:p>
        </w:tc>
        <w:tc>
          <w:tcPr>
            <w:tcW w:w="850" w:type="dxa"/>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6</w:t>
            </w:r>
          </w:p>
        </w:tc>
        <w:tc>
          <w:tcPr>
            <w:tcW w:w="992" w:type="dxa"/>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8</w:t>
            </w:r>
          </w:p>
        </w:tc>
        <w:tc>
          <w:tcPr>
            <w:tcW w:w="1560" w:type="dxa"/>
          </w:tcPr>
          <w:p w:rsidR="00964C8C" w:rsidRPr="002906BC" w:rsidRDefault="00964C8C" w:rsidP="00275B2E">
            <w:pPr>
              <w:autoSpaceDE w:val="0"/>
              <w:autoSpaceDN w:val="0"/>
              <w:bidi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2906BC">
              <w:rPr>
                <w:rFonts w:asciiTheme="majorBidi" w:hAnsiTheme="majorBidi" w:cstheme="majorBidi"/>
                <w:sz w:val="20"/>
                <w:szCs w:val="20"/>
              </w:rPr>
              <w:t>GG</w:t>
            </w:r>
          </w:p>
          <w:p w:rsidR="00964C8C" w:rsidRPr="002906BC" w:rsidRDefault="00964C8C" w:rsidP="00275B2E">
            <w:pPr>
              <w:autoSpaceDE w:val="0"/>
              <w:autoSpaceDN w:val="0"/>
              <w:bidi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964C8C" w:rsidRPr="002906BC" w:rsidTr="00275B2E">
        <w:tc>
          <w:tcPr>
            <w:cnfStyle w:val="001000000000" w:firstRow="0" w:lastRow="0" w:firstColumn="1" w:lastColumn="0" w:oddVBand="0" w:evenVBand="0" w:oddHBand="0" w:evenHBand="0" w:firstRowFirstColumn="0" w:firstRowLastColumn="0" w:lastRowFirstColumn="0" w:lastRowLastColumn="0"/>
            <w:tcW w:w="6854" w:type="dxa"/>
            <w:gridSpan w:val="7"/>
          </w:tcPr>
          <w:p w:rsidR="00964C8C" w:rsidRPr="002906BC" w:rsidRDefault="00964C8C" w:rsidP="00275B2E">
            <w:pPr>
              <w:spacing w:line="276" w:lineRule="auto"/>
              <w:jc w:val="center"/>
              <w:rPr>
                <w:rFonts w:asciiTheme="majorBidi" w:hAnsiTheme="majorBidi" w:cstheme="majorBidi"/>
                <w:sz w:val="20"/>
                <w:szCs w:val="20"/>
                <w:lang w:bidi="ar-IQ"/>
              </w:rPr>
            </w:pPr>
          </w:p>
        </w:tc>
        <w:tc>
          <w:tcPr>
            <w:tcW w:w="1560" w:type="dxa"/>
            <w:hideMark/>
          </w:tcPr>
          <w:p w:rsidR="00964C8C" w:rsidRPr="002906BC" w:rsidRDefault="00964C8C" w:rsidP="00275B2E">
            <w:pPr>
              <w:autoSpaceDE w:val="0"/>
              <w:autoSpaceDN w:val="0"/>
              <w:bidi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906BC">
              <w:rPr>
                <w:rFonts w:asciiTheme="majorBidi" w:hAnsiTheme="majorBidi" w:cstheme="majorBidi"/>
                <w:sz w:val="20"/>
                <w:szCs w:val="20"/>
              </w:rPr>
              <w:t>Additive</w:t>
            </w:r>
          </w:p>
        </w:tc>
      </w:tr>
      <w:tr w:rsidR="00964C8C" w:rsidRPr="002906BC" w:rsidTr="00275B2E">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992" w:type="dxa"/>
            <w:hideMark/>
          </w:tcPr>
          <w:p w:rsidR="00964C8C" w:rsidRPr="002906BC" w:rsidRDefault="00964C8C" w:rsidP="00275B2E">
            <w:pPr>
              <w:spacing w:line="276" w:lineRule="auto"/>
              <w:jc w:val="center"/>
              <w:rPr>
                <w:rFonts w:asciiTheme="majorBidi" w:hAnsiTheme="majorBidi" w:cstheme="majorBidi"/>
                <w:sz w:val="20"/>
                <w:szCs w:val="20"/>
                <w:lang w:bidi="ar-IQ"/>
              </w:rPr>
            </w:pPr>
            <w:r w:rsidRPr="002906BC">
              <w:rPr>
                <w:rFonts w:asciiTheme="majorBidi" w:hAnsiTheme="majorBidi" w:cstheme="majorBidi"/>
                <w:sz w:val="20"/>
                <w:szCs w:val="20"/>
                <w:rtl/>
                <w:lang w:bidi="ar-IQ"/>
              </w:rPr>
              <w:t>0.41</w:t>
            </w:r>
          </w:p>
        </w:tc>
        <w:tc>
          <w:tcPr>
            <w:tcW w:w="1225" w:type="dxa"/>
            <w:hideMark/>
          </w:tcPr>
          <w:p w:rsidR="00964C8C" w:rsidRPr="002906BC" w:rsidRDefault="00964C8C" w:rsidP="00275B2E">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lang w:bidi="ar-IQ"/>
              </w:rPr>
              <w:t>1.46</w:t>
            </w:r>
          </w:p>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(0.65-2.11)</w:t>
            </w:r>
          </w:p>
        </w:tc>
        <w:tc>
          <w:tcPr>
            <w:tcW w:w="1235" w:type="dxa"/>
            <w:gridSpan w:val="2"/>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rtl/>
                <w:lang w:bidi="ar-IQ"/>
              </w:rPr>
              <w:t>0.52</w:t>
            </w:r>
          </w:p>
        </w:tc>
        <w:tc>
          <w:tcPr>
            <w:tcW w:w="1560" w:type="dxa"/>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r w:rsidRPr="002906BC">
              <w:rPr>
                <w:rFonts w:asciiTheme="majorBidi" w:hAnsiTheme="majorBidi" w:cstheme="majorBidi"/>
                <w:sz w:val="20"/>
                <w:szCs w:val="20"/>
                <w:lang w:bidi="ar-IQ"/>
              </w:rPr>
              <w:t>1.22</w:t>
            </w:r>
          </w:p>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(0.66-2.66)</w:t>
            </w:r>
          </w:p>
        </w:tc>
        <w:tc>
          <w:tcPr>
            <w:tcW w:w="850" w:type="dxa"/>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36</w:t>
            </w:r>
          </w:p>
        </w:tc>
        <w:tc>
          <w:tcPr>
            <w:tcW w:w="992" w:type="dxa"/>
            <w:hideMark/>
          </w:tcPr>
          <w:p w:rsidR="00964C8C" w:rsidRPr="002906BC" w:rsidRDefault="00964C8C" w:rsidP="00275B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2906BC">
              <w:rPr>
                <w:rFonts w:asciiTheme="majorBidi" w:hAnsiTheme="majorBidi" w:cstheme="majorBidi"/>
                <w:sz w:val="20"/>
                <w:szCs w:val="20"/>
                <w:lang w:bidi="ar-IQ"/>
              </w:rPr>
              <w:t>45</w:t>
            </w:r>
          </w:p>
        </w:tc>
        <w:tc>
          <w:tcPr>
            <w:tcW w:w="1560" w:type="dxa"/>
            <w:hideMark/>
          </w:tcPr>
          <w:p w:rsidR="00964C8C" w:rsidRPr="002906BC" w:rsidRDefault="00964C8C" w:rsidP="00275B2E">
            <w:pPr>
              <w:autoSpaceDE w:val="0"/>
              <w:autoSpaceDN w:val="0"/>
              <w:bidi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906BC">
              <w:rPr>
                <w:rFonts w:asciiTheme="majorBidi" w:hAnsiTheme="majorBidi" w:cstheme="majorBidi"/>
                <w:sz w:val="20"/>
                <w:szCs w:val="20"/>
              </w:rPr>
              <w:t>2(GG)+AG</w:t>
            </w:r>
          </w:p>
        </w:tc>
      </w:tr>
    </w:tbl>
    <w:p w:rsidR="00C24DE0" w:rsidRPr="002906BC" w:rsidRDefault="00C24DE0" w:rsidP="00275B2E">
      <w:pPr>
        <w:bidi w:val="0"/>
        <w:jc w:val="both"/>
        <w:rPr>
          <w:rFonts w:asciiTheme="majorBidi" w:hAnsiTheme="majorBidi" w:cstheme="majorBidi"/>
          <w:sz w:val="24"/>
          <w:szCs w:val="24"/>
          <w:lang w:bidi="ar-IQ"/>
        </w:rPr>
      </w:pPr>
    </w:p>
    <w:p w:rsidR="00607334" w:rsidRPr="002906BC" w:rsidRDefault="00C24DE0" w:rsidP="00275B2E">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w:t>
      </w:r>
      <w:r w:rsidR="00586289" w:rsidRPr="002906BC">
        <w:rPr>
          <w:rFonts w:asciiTheme="majorBidi" w:hAnsiTheme="majorBidi" w:cstheme="majorBidi"/>
          <w:sz w:val="24"/>
          <w:szCs w:val="24"/>
          <w:lang w:bidi="ar-IQ"/>
        </w:rPr>
        <w:t xml:space="preserve">The CTLA-4 gene polymorphisms +49A/G have not been linked to diabetic </w:t>
      </w:r>
      <w:proofErr w:type="gramStart"/>
      <w:r w:rsidR="00586289" w:rsidRPr="002906BC">
        <w:rPr>
          <w:rFonts w:asciiTheme="majorBidi" w:hAnsiTheme="majorBidi" w:cstheme="majorBidi"/>
          <w:sz w:val="24"/>
          <w:szCs w:val="24"/>
          <w:lang w:bidi="ar-IQ"/>
        </w:rPr>
        <w:t>mellitus  .</w:t>
      </w:r>
      <w:proofErr w:type="gramEnd"/>
      <w:r w:rsidR="00586289" w:rsidRPr="002906BC">
        <w:rPr>
          <w:rFonts w:asciiTheme="majorBidi" w:hAnsiTheme="majorBidi" w:cstheme="majorBidi"/>
          <w:sz w:val="24"/>
          <w:szCs w:val="24"/>
          <w:lang w:bidi="ar-IQ"/>
        </w:rPr>
        <w:t xml:space="preserve"> Table 3 displays the genotype and allele frequencies. </w:t>
      </w:r>
      <w:proofErr w:type="gramStart"/>
      <w:r w:rsidR="00586289" w:rsidRPr="002906BC">
        <w:rPr>
          <w:rFonts w:asciiTheme="majorBidi" w:hAnsiTheme="majorBidi" w:cstheme="majorBidi"/>
          <w:sz w:val="24"/>
          <w:szCs w:val="24"/>
          <w:lang w:bidi="ar-IQ"/>
        </w:rPr>
        <w:t>the</w:t>
      </w:r>
      <w:proofErr w:type="gramEnd"/>
      <w:r w:rsidR="00586289" w:rsidRPr="002906BC">
        <w:rPr>
          <w:rFonts w:asciiTheme="majorBidi" w:hAnsiTheme="majorBidi" w:cstheme="majorBidi"/>
          <w:sz w:val="24"/>
          <w:szCs w:val="24"/>
          <w:lang w:bidi="ar-IQ"/>
        </w:rPr>
        <w:t xml:space="preserve"> predominant genotype for the +49A/G single nucleotide polymorphism (SNP) in both groups was AA.</w:t>
      </w:r>
    </w:p>
    <w:p w:rsidR="00C24DE0" w:rsidRPr="002906BC" w:rsidRDefault="001C00F9" w:rsidP="003A6DA8">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A G to A transition at position 49 (+49A/G) of exon 1 results in an alanine to threonine amino acid substitution at codon 17 in the leader peptide (A17T), while a C to T transition at position 60 (CT60) occurs in the 3'-untranslated region (Ueda et al., 2003). The G allele of +49A/G has been linked to a higher risk of autoimmune </w:t>
      </w:r>
      <w:proofErr w:type="gramStart"/>
      <w:r w:rsidRPr="002906BC">
        <w:rPr>
          <w:rFonts w:asciiTheme="majorBidi" w:hAnsiTheme="majorBidi" w:cstheme="majorBidi"/>
          <w:sz w:val="24"/>
          <w:szCs w:val="24"/>
          <w:lang w:bidi="ar-IQ"/>
        </w:rPr>
        <w:t xml:space="preserve">disorders </w:t>
      </w:r>
      <w:r w:rsidR="003A6DA8">
        <w:rPr>
          <w:rFonts w:asciiTheme="majorBidi" w:hAnsiTheme="majorBidi" w:cstheme="majorBidi"/>
          <w:sz w:val="24"/>
          <w:szCs w:val="24"/>
          <w:lang w:bidi="ar-IQ"/>
        </w:rPr>
        <w:t>,</w:t>
      </w:r>
      <w:proofErr w:type="gramEnd"/>
      <w:r w:rsidRPr="002906BC">
        <w:rPr>
          <w:rFonts w:asciiTheme="majorBidi" w:hAnsiTheme="majorBidi" w:cstheme="majorBidi"/>
          <w:sz w:val="24"/>
          <w:szCs w:val="24"/>
          <w:lang w:bidi="ar-IQ"/>
        </w:rPr>
        <w:t xml:space="preserve"> studies of CTLA-4 polymorphisms should include haplotype analysis. The CT60 G variant has been linked to an increased risk of autoimmune </w:t>
      </w:r>
      <w:proofErr w:type="gramStart"/>
      <w:r w:rsidRPr="002906BC">
        <w:rPr>
          <w:rFonts w:asciiTheme="majorBidi" w:hAnsiTheme="majorBidi" w:cstheme="majorBidi"/>
          <w:sz w:val="24"/>
          <w:szCs w:val="24"/>
          <w:lang w:bidi="ar-IQ"/>
        </w:rPr>
        <w:t>disorders ,</w:t>
      </w:r>
      <w:proofErr w:type="gramEnd"/>
      <w:r w:rsidRPr="002906BC">
        <w:rPr>
          <w:rFonts w:asciiTheme="majorBidi" w:hAnsiTheme="majorBidi" w:cstheme="majorBidi"/>
          <w:sz w:val="24"/>
          <w:szCs w:val="24"/>
          <w:lang w:bidi="ar-IQ"/>
        </w:rPr>
        <w:t xml:space="preserve"> and a functional approach revealed that the CT60 G allele is related with decreased mRNA levels (</w:t>
      </w:r>
      <w:proofErr w:type="spellStart"/>
      <w:r w:rsidR="003A6DA8" w:rsidRPr="003A6DA8">
        <w:rPr>
          <w:rFonts w:asciiTheme="majorBidi" w:hAnsiTheme="majorBidi" w:cstheme="majorBidi"/>
          <w:sz w:val="24"/>
          <w:szCs w:val="24"/>
          <w:lang w:bidi="ar-IQ"/>
        </w:rPr>
        <w:t>Megiorni</w:t>
      </w:r>
      <w:proofErr w:type="spellEnd"/>
      <w:r w:rsidR="001F17AF" w:rsidRPr="002906BC">
        <w:rPr>
          <w:rFonts w:asciiTheme="majorBidi" w:hAnsiTheme="majorBidi" w:cstheme="majorBidi"/>
          <w:sz w:val="24"/>
          <w:szCs w:val="24"/>
          <w:lang w:bidi="ar-IQ"/>
        </w:rPr>
        <w:t xml:space="preserve"> et al., </w:t>
      </w:r>
      <w:r w:rsidR="003A6DA8">
        <w:rPr>
          <w:rFonts w:asciiTheme="majorBidi" w:hAnsiTheme="majorBidi" w:cstheme="majorBidi"/>
          <w:sz w:val="24"/>
          <w:szCs w:val="24"/>
          <w:lang w:bidi="ar-IQ"/>
        </w:rPr>
        <w:t>2014</w:t>
      </w:r>
      <w:r w:rsidRPr="002906BC">
        <w:rPr>
          <w:rFonts w:asciiTheme="majorBidi" w:hAnsiTheme="majorBidi" w:cstheme="majorBidi"/>
          <w:sz w:val="24"/>
          <w:szCs w:val="24"/>
          <w:lang w:bidi="ar-IQ"/>
        </w:rPr>
        <w:t>).</w:t>
      </w:r>
    </w:p>
    <w:p w:rsidR="0023092D" w:rsidRPr="002906BC" w:rsidRDefault="0023092D" w:rsidP="00775FC4">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These results are also consistent with study (</w:t>
      </w:r>
      <w:proofErr w:type="spellStart"/>
      <w:r w:rsidR="00775FC4" w:rsidRPr="002906BC">
        <w:rPr>
          <w:rFonts w:asciiTheme="majorBidi" w:hAnsiTheme="majorBidi" w:cstheme="majorBidi"/>
          <w:sz w:val="24"/>
          <w:szCs w:val="24"/>
          <w:lang w:bidi="ar-IQ"/>
        </w:rPr>
        <w:t>Gottenberg</w:t>
      </w:r>
      <w:proofErr w:type="spellEnd"/>
      <w:r w:rsidRPr="002906BC">
        <w:rPr>
          <w:rFonts w:asciiTheme="majorBidi" w:hAnsiTheme="majorBidi" w:cstheme="majorBidi"/>
          <w:sz w:val="24"/>
          <w:szCs w:val="24"/>
          <w:lang w:bidi="ar-IQ"/>
        </w:rPr>
        <w:t xml:space="preserve"> et al., 2007), who explained that there is no significant link between patients with diabetes and healthy controls when demonstrating a lack of association between CTLA-4 CT60 or +49A/G polymorphisms and Primary </w:t>
      </w:r>
      <w:proofErr w:type="spellStart"/>
      <w:r w:rsidRPr="002906BC">
        <w:rPr>
          <w:rFonts w:asciiTheme="majorBidi" w:hAnsiTheme="majorBidi" w:cstheme="majorBidi"/>
          <w:sz w:val="24"/>
          <w:szCs w:val="24"/>
          <w:lang w:bidi="ar-IQ"/>
        </w:rPr>
        <w:t>Sjögren</w:t>
      </w:r>
      <w:proofErr w:type="spellEnd"/>
      <w:r w:rsidRPr="002906BC">
        <w:rPr>
          <w:rFonts w:asciiTheme="majorBidi" w:hAnsiTheme="majorBidi" w:cstheme="majorBidi"/>
          <w:sz w:val="24"/>
          <w:szCs w:val="24"/>
          <w:lang w:bidi="ar-IQ"/>
        </w:rPr>
        <w:t xml:space="preserve"> syndrome among Caucasians.</w:t>
      </w:r>
    </w:p>
    <w:p w:rsidR="00275B2E" w:rsidRPr="002906BC" w:rsidRDefault="00275B2E" w:rsidP="00C82BD4">
      <w:pPr>
        <w:bidi w:val="0"/>
        <w:jc w:val="both"/>
        <w:rPr>
          <w:rFonts w:asciiTheme="majorBidi" w:hAnsiTheme="majorBidi" w:cstheme="majorBidi"/>
          <w:sz w:val="24"/>
          <w:szCs w:val="24"/>
          <w:lang w:bidi="ar-IQ"/>
        </w:rPr>
      </w:pPr>
      <w:r w:rsidRPr="002906BC">
        <w:rPr>
          <w:rFonts w:asciiTheme="majorBidi" w:hAnsiTheme="majorBidi" w:cstheme="majorBidi"/>
          <w:sz w:val="24"/>
          <w:szCs w:val="24"/>
          <w:shd w:val="clear" w:color="auto" w:fill="FFFFFF"/>
        </w:rPr>
        <w:lastRenderedPageBreak/>
        <w:t xml:space="preserve">    A representative T</w:t>
      </w:r>
      <w:r w:rsidRPr="002906BC">
        <w:rPr>
          <w:rFonts w:ascii="Cambria Math" w:hAnsi="Cambria Math" w:cs="Cambria Math"/>
          <w:sz w:val="24"/>
          <w:szCs w:val="24"/>
          <w:shd w:val="clear" w:color="auto" w:fill="FFFFFF"/>
        </w:rPr>
        <w:t>‐</w:t>
      </w:r>
      <w:r w:rsidRPr="002906BC">
        <w:rPr>
          <w:rFonts w:asciiTheme="majorBidi" w:hAnsiTheme="majorBidi" w:cstheme="majorBidi"/>
          <w:sz w:val="24"/>
          <w:szCs w:val="24"/>
          <w:shd w:val="clear" w:color="auto" w:fill="FFFFFF"/>
        </w:rPr>
        <w:t>ARMS</w:t>
      </w:r>
      <w:r w:rsidRPr="002906BC">
        <w:rPr>
          <w:rFonts w:ascii="Cambria Math" w:hAnsi="Cambria Math" w:cs="Cambria Math"/>
          <w:sz w:val="24"/>
          <w:szCs w:val="24"/>
          <w:shd w:val="clear" w:color="auto" w:fill="FFFFFF"/>
        </w:rPr>
        <w:t>‐</w:t>
      </w:r>
      <w:r w:rsidRPr="002906BC">
        <w:rPr>
          <w:rFonts w:asciiTheme="majorBidi" w:hAnsiTheme="majorBidi" w:cstheme="majorBidi"/>
          <w:sz w:val="24"/>
          <w:szCs w:val="24"/>
          <w:shd w:val="clear" w:color="auto" w:fill="FFFFFF"/>
        </w:rPr>
        <w:t xml:space="preserve">PCR </w:t>
      </w:r>
      <w:proofErr w:type="spellStart"/>
      <w:r w:rsidRPr="002906BC">
        <w:rPr>
          <w:rFonts w:asciiTheme="majorBidi" w:hAnsiTheme="majorBidi" w:cstheme="majorBidi"/>
          <w:sz w:val="24"/>
          <w:szCs w:val="24"/>
          <w:shd w:val="clear" w:color="auto" w:fill="FFFFFF"/>
        </w:rPr>
        <w:t>electrophoretogram</w:t>
      </w:r>
      <w:proofErr w:type="spellEnd"/>
      <w:r w:rsidRPr="002906BC">
        <w:rPr>
          <w:rFonts w:asciiTheme="majorBidi" w:hAnsiTheme="majorBidi" w:cstheme="majorBidi"/>
          <w:sz w:val="24"/>
          <w:szCs w:val="24"/>
          <w:shd w:val="clear" w:color="auto" w:fill="FFFFFF"/>
        </w:rPr>
        <w:t xml:space="preserve"> of </w:t>
      </w:r>
      <w:r w:rsidRPr="002906BC">
        <w:rPr>
          <w:rStyle w:val="Emphasis"/>
          <w:rFonts w:asciiTheme="majorBidi" w:hAnsiTheme="majorBidi" w:cstheme="majorBidi"/>
          <w:sz w:val="24"/>
          <w:szCs w:val="24"/>
          <w:shd w:val="clear" w:color="auto" w:fill="FFFFFF"/>
        </w:rPr>
        <w:t>CTLA-4 (+49A/G) Gene Polymorphism</w:t>
      </w:r>
      <w:r w:rsidRPr="002906BC">
        <w:rPr>
          <w:rFonts w:asciiTheme="majorBidi" w:hAnsiTheme="majorBidi" w:cstheme="majorBidi"/>
          <w:sz w:val="24"/>
          <w:szCs w:val="24"/>
          <w:shd w:val="clear" w:color="auto" w:fill="FFFFFF"/>
        </w:rPr>
        <w:t xml:space="preserve"> is shown in Figure </w:t>
      </w:r>
      <w:r w:rsidRPr="002906BC">
        <w:rPr>
          <w:rFonts w:asciiTheme="majorBidi" w:hAnsiTheme="majorBidi" w:cstheme="majorBidi"/>
          <w:sz w:val="24"/>
          <w:szCs w:val="24"/>
        </w:rPr>
        <w:t>1.</w:t>
      </w:r>
      <w:r w:rsidRPr="002906BC">
        <w:rPr>
          <w:rFonts w:asciiTheme="majorBidi" w:hAnsiTheme="majorBidi" w:cstheme="majorBidi"/>
          <w:sz w:val="24"/>
          <w:szCs w:val="24"/>
          <w:shd w:val="clear" w:color="auto" w:fill="FFFFFF"/>
        </w:rPr>
        <w:t xml:space="preserve"> The AG genotype showed three bands: 22</w:t>
      </w:r>
      <w:r w:rsidR="00F70A9A" w:rsidRPr="002906BC">
        <w:rPr>
          <w:rFonts w:asciiTheme="majorBidi" w:hAnsiTheme="majorBidi" w:cstheme="majorBidi"/>
          <w:sz w:val="24"/>
          <w:szCs w:val="24"/>
          <w:shd w:val="clear" w:color="auto" w:fill="FFFFFF"/>
        </w:rPr>
        <w:t>9</w:t>
      </w:r>
      <w:r w:rsidRPr="002906BC">
        <w:rPr>
          <w:rFonts w:asciiTheme="majorBidi" w:hAnsiTheme="majorBidi" w:cstheme="majorBidi"/>
          <w:sz w:val="24"/>
          <w:szCs w:val="24"/>
          <w:shd w:val="clear" w:color="auto" w:fill="FFFFFF"/>
        </w:rPr>
        <w:t> </w:t>
      </w:r>
      <w:proofErr w:type="spellStart"/>
      <w:r w:rsidRPr="002906BC">
        <w:rPr>
          <w:rFonts w:asciiTheme="majorBidi" w:hAnsiTheme="majorBidi" w:cstheme="majorBidi"/>
          <w:sz w:val="24"/>
          <w:szCs w:val="24"/>
          <w:shd w:val="clear" w:color="auto" w:fill="FFFFFF"/>
        </w:rPr>
        <w:t>bp</w:t>
      </w:r>
      <w:proofErr w:type="spellEnd"/>
      <w:r w:rsidRPr="002906BC">
        <w:rPr>
          <w:rFonts w:asciiTheme="majorBidi" w:hAnsiTheme="majorBidi" w:cstheme="majorBidi"/>
          <w:sz w:val="24"/>
          <w:szCs w:val="24"/>
          <w:shd w:val="clear" w:color="auto" w:fill="FFFFFF"/>
        </w:rPr>
        <w:t xml:space="preserve">, </w:t>
      </w:r>
      <w:r w:rsidR="00F70A9A" w:rsidRPr="002906BC">
        <w:rPr>
          <w:rFonts w:asciiTheme="majorBidi" w:hAnsiTheme="majorBidi" w:cstheme="majorBidi"/>
          <w:sz w:val="24"/>
          <w:szCs w:val="24"/>
          <w:shd w:val="clear" w:color="auto" w:fill="FFFFFF"/>
        </w:rPr>
        <w:t>162</w:t>
      </w:r>
      <w:r w:rsidRPr="002906BC">
        <w:rPr>
          <w:rFonts w:asciiTheme="majorBidi" w:hAnsiTheme="majorBidi" w:cstheme="majorBidi"/>
          <w:sz w:val="24"/>
          <w:szCs w:val="24"/>
          <w:shd w:val="clear" w:color="auto" w:fill="FFFFFF"/>
        </w:rPr>
        <w:t> </w:t>
      </w:r>
      <w:proofErr w:type="spellStart"/>
      <w:r w:rsidRPr="002906BC">
        <w:rPr>
          <w:rFonts w:asciiTheme="majorBidi" w:hAnsiTheme="majorBidi" w:cstheme="majorBidi"/>
          <w:sz w:val="24"/>
          <w:szCs w:val="24"/>
          <w:shd w:val="clear" w:color="auto" w:fill="FFFFFF"/>
        </w:rPr>
        <w:t>bp</w:t>
      </w:r>
      <w:proofErr w:type="spellEnd"/>
      <w:r w:rsidRPr="002906BC">
        <w:rPr>
          <w:rFonts w:asciiTheme="majorBidi" w:hAnsiTheme="majorBidi" w:cstheme="majorBidi"/>
          <w:sz w:val="24"/>
          <w:szCs w:val="24"/>
          <w:shd w:val="clear" w:color="auto" w:fill="FFFFFF"/>
        </w:rPr>
        <w:t xml:space="preserve">, and </w:t>
      </w:r>
      <w:r w:rsidR="00F70A9A" w:rsidRPr="002906BC">
        <w:rPr>
          <w:rFonts w:asciiTheme="majorBidi" w:hAnsiTheme="majorBidi" w:cstheme="majorBidi"/>
          <w:sz w:val="24"/>
          <w:szCs w:val="24"/>
          <w:shd w:val="clear" w:color="auto" w:fill="FFFFFF"/>
        </w:rPr>
        <w:t>120</w:t>
      </w:r>
      <w:r w:rsidRPr="002906BC">
        <w:rPr>
          <w:rFonts w:asciiTheme="majorBidi" w:hAnsiTheme="majorBidi" w:cstheme="majorBidi"/>
          <w:sz w:val="24"/>
          <w:szCs w:val="24"/>
          <w:shd w:val="clear" w:color="auto" w:fill="FFFFFF"/>
        </w:rPr>
        <w:t> </w:t>
      </w:r>
      <w:proofErr w:type="spellStart"/>
      <w:r w:rsidRPr="002906BC">
        <w:rPr>
          <w:rFonts w:asciiTheme="majorBidi" w:hAnsiTheme="majorBidi" w:cstheme="majorBidi"/>
          <w:sz w:val="24"/>
          <w:szCs w:val="24"/>
          <w:shd w:val="clear" w:color="auto" w:fill="FFFFFF"/>
        </w:rPr>
        <w:t>bp.</w:t>
      </w:r>
      <w:proofErr w:type="spellEnd"/>
      <w:r w:rsidRPr="002906BC">
        <w:rPr>
          <w:rFonts w:asciiTheme="majorBidi" w:hAnsiTheme="majorBidi" w:cstheme="majorBidi"/>
          <w:sz w:val="24"/>
          <w:szCs w:val="24"/>
          <w:shd w:val="clear" w:color="auto" w:fill="FFFFFF"/>
        </w:rPr>
        <w:t xml:space="preserve"> The </w:t>
      </w:r>
      <w:r w:rsidR="00F70A9A" w:rsidRPr="002906BC">
        <w:rPr>
          <w:rFonts w:asciiTheme="majorBidi" w:hAnsiTheme="majorBidi" w:cstheme="majorBidi"/>
          <w:sz w:val="24"/>
          <w:szCs w:val="24"/>
          <w:shd w:val="clear" w:color="auto" w:fill="FFFFFF"/>
        </w:rPr>
        <w:t>AA</w:t>
      </w:r>
      <w:r w:rsidRPr="002906BC">
        <w:rPr>
          <w:rFonts w:asciiTheme="majorBidi" w:hAnsiTheme="majorBidi" w:cstheme="majorBidi"/>
          <w:sz w:val="24"/>
          <w:szCs w:val="24"/>
          <w:shd w:val="clear" w:color="auto" w:fill="FFFFFF"/>
        </w:rPr>
        <w:t xml:space="preserve"> genotype showed two bands: 2</w:t>
      </w:r>
      <w:r w:rsidR="00F70A9A" w:rsidRPr="002906BC">
        <w:rPr>
          <w:rFonts w:asciiTheme="majorBidi" w:hAnsiTheme="majorBidi" w:cstheme="majorBidi"/>
          <w:sz w:val="24"/>
          <w:szCs w:val="24"/>
          <w:shd w:val="clear" w:color="auto" w:fill="FFFFFF"/>
        </w:rPr>
        <w:t>29</w:t>
      </w:r>
      <w:r w:rsidRPr="002906BC">
        <w:rPr>
          <w:rFonts w:asciiTheme="majorBidi" w:hAnsiTheme="majorBidi" w:cstheme="majorBidi"/>
          <w:sz w:val="24"/>
          <w:szCs w:val="24"/>
          <w:shd w:val="clear" w:color="auto" w:fill="FFFFFF"/>
        </w:rPr>
        <w:t> </w:t>
      </w:r>
      <w:proofErr w:type="spellStart"/>
      <w:r w:rsidRPr="002906BC">
        <w:rPr>
          <w:rFonts w:asciiTheme="majorBidi" w:hAnsiTheme="majorBidi" w:cstheme="majorBidi"/>
          <w:sz w:val="24"/>
          <w:szCs w:val="24"/>
          <w:shd w:val="clear" w:color="auto" w:fill="FFFFFF"/>
        </w:rPr>
        <w:t>bp</w:t>
      </w:r>
      <w:proofErr w:type="spellEnd"/>
      <w:r w:rsidRPr="002906BC">
        <w:rPr>
          <w:rFonts w:asciiTheme="majorBidi" w:hAnsiTheme="majorBidi" w:cstheme="majorBidi"/>
          <w:sz w:val="24"/>
          <w:szCs w:val="24"/>
          <w:shd w:val="clear" w:color="auto" w:fill="FFFFFF"/>
        </w:rPr>
        <w:t xml:space="preserve"> and </w:t>
      </w:r>
      <w:r w:rsidR="00F70A9A" w:rsidRPr="002906BC">
        <w:rPr>
          <w:rFonts w:asciiTheme="majorBidi" w:hAnsiTheme="majorBidi" w:cstheme="majorBidi"/>
          <w:sz w:val="24"/>
          <w:szCs w:val="24"/>
          <w:shd w:val="clear" w:color="auto" w:fill="FFFFFF"/>
        </w:rPr>
        <w:t>162</w:t>
      </w:r>
      <w:r w:rsidRPr="002906BC">
        <w:rPr>
          <w:rFonts w:asciiTheme="majorBidi" w:hAnsiTheme="majorBidi" w:cstheme="majorBidi"/>
          <w:sz w:val="24"/>
          <w:szCs w:val="24"/>
          <w:shd w:val="clear" w:color="auto" w:fill="FFFFFF"/>
        </w:rPr>
        <w:t> </w:t>
      </w:r>
      <w:proofErr w:type="spellStart"/>
      <w:r w:rsidRPr="002906BC">
        <w:rPr>
          <w:rFonts w:asciiTheme="majorBidi" w:hAnsiTheme="majorBidi" w:cstheme="majorBidi"/>
          <w:sz w:val="24"/>
          <w:szCs w:val="24"/>
          <w:shd w:val="clear" w:color="auto" w:fill="FFFFFF"/>
        </w:rPr>
        <w:t>bp.</w:t>
      </w:r>
      <w:proofErr w:type="spellEnd"/>
      <w:r w:rsidRPr="002906BC">
        <w:rPr>
          <w:rFonts w:asciiTheme="majorBidi" w:hAnsiTheme="majorBidi" w:cstheme="majorBidi"/>
          <w:sz w:val="24"/>
          <w:szCs w:val="24"/>
          <w:shd w:val="clear" w:color="auto" w:fill="FFFFFF"/>
        </w:rPr>
        <w:t xml:space="preserve"> </w:t>
      </w:r>
      <w:r w:rsidR="00F70A9A" w:rsidRPr="002906BC">
        <w:rPr>
          <w:rFonts w:asciiTheme="majorBidi" w:hAnsiTheme="majorBidi" w:cstheme="majorBidi"/>
          <w:sz w:val="24"/>
          <w:szCs w:val="24"/>
          <w:shd w:val="clear" w:color="auto" w:fill="FFFFFF"/>
        </w:rPr>
        <w:t>T</w:t>
      </w:r>
      <w:r w:rsidRPr="002906BC">
        <w:rPr>
          <w:rFonts w:asciiTheme="majorBidi" w:hAnsiTheme="majorBidi" w:cstheme="majorBidi"/>
          <w:sz w:val="24"/>
          <w:szCs w:val="24"/>
          <w:shd w:val="clear" w:color="auto" w:fill="FFFFFF"/>
        </w:rPr>
        <w:t>he TT genotype showed two bands: 22</w:t>
      </w:r>
      <w:r w:rsidR="00F70A9A" w:rsidRPr="002906BC">
        <w:rPr>
          <w:rFonts w:asciiTheme="majorBidi" w:hAnsiTheme="majorBidi" w:cstheme="majorBidi"/>
          <w:sz w:val="24"/>
          <w:szCs w:val="24"/>
          <w:shd w:val="clear" w:color="auto" w:fill="FFFFFF"/>
        </w:rPr>
        <w:t>9</w:t>
      </w:r>
      <w:r w:rsidRPr="002906BC">
        <w:rPr>
          <w:rFonts w:asciiTheme="majorBidi" w:hAnsiTheme="majorBidi" w:cstheme="majorBidi"/>
          <w:sz w:val="24"/>
          <w:szCs w:val="24"/>
          <w:shd w:val="clear" w:color="auto" w:fill="FFFFFF"/>
        </w:rPr>
        <w:t> </w:t>
      </w:r>
      <w:proofErr w:type="spellStart"/>
      <w:r w:rsidRPr="002906BC">
        <w:rPr>
          <w:rFonts w:asciiTheme="majorBidi" w:hAnsiTheme="majorBidi" w:cstheme="majorBidi"/>
          <w:sz w:val="24"/>
          <w:szCs w:val="24"/>
          <w:shd w:val="clear" w:color="auto" w:fill="FFFFFF"/>
        </w:rPr>
        <w:t>bp</w:t>
      </w:r>
      <w:proofErr w:type="spellEnd"/>
      <w:r w:rsidRPr="002906BC">
        <w:rPr>
          <w:rFonts w:asciiTheme="majorBidi" w:hAnsiTheme="majorBidi" w:cstheme="majorBidi"/>
          <w:sz w:val="24"/>
          <w:szCs w:val="24"/>
          <w:shd w:val="clear" w:color="auto" w:fill="FFFFFF"/>
        </w:rPr>
        <w:t xml:space="preserve"> and </w:t>
      </w:r>
      <w:r w:rsidR="00F70A9A" w:rsidRPr="002906BC">
        <w:rPr>
          <w:rFonts w:asciiTheme="majorBidi" w:hAnsiTheme="majorBidi" w:cstheme="majorBidi"/>
          <w:sz w:val="24"/>
          <w:szCs w:val="24"/>
          <w:shd w:val="clear" w:color="auto" w:fill="FFFFFF"/>
        </w:rPr>
        <w:t>120</w:t>
      </w:r>
      <w:r w:rsidRPr="002906BC">
        <w:rPr>
          <w:rFonts w:asciiTheme="majorBidi" w:hAnsiTheme="majorBidi" w:cstheme="majorBidi"/>
          <w:sz w:val="24"/>
          <w:szCs w:val="24"/>
          <w:shd w:val="clear" w:color="auto" w:fill="FFFFFF"/>
        </w:rPr>
        <w:t xml:space="preserve">bp. Among the </w:t>
      </w:r>
      <w:r w:rsidR="00C82BD4" w:rsidRPr="002906BC">
        <w:rPr>
          <w:rFonts w:asciiTheme="majorBidi" w:hAnsiTheme="majorBidi" w:cstheme="majorBidi"/>
          <w:sz w:val="24"/>
          <w:szCs w:val="24"/>
          <w:shd w:val="clear" w:color="auto" w:fill="FFFFFF"/>
        </w:rPr>
        <w:t>60</w:t>
      </w:r>
      <w:r w:rsidRPr="002906BC">
        <w:rPr>
          <w:rFonts w:asciiTheme="majorBidi" w:hAnsiTheme="majorBidi" w:cstheme="majorBidi"/>
          <w:sz w:val="24"/>
          <w:szCs w:val="24"/>
          <w:shd w:val="clear" w:color="auto" w:fill="FFFFFF"/>
        </w:rPr>
        <w:t xml:space="preserve"> </w:t>
      </w:r>
      <w:r w:rsidR="00C82BD4" w:rsidRPr="002906BC">
        <w:rPr>
          <w:rFonts w:asciiTheme="majorBidi" w:hAnsiTheme="majorBidi" w:cstheme="majorBidi"/>
          <w:sz w:val="24"/>
          <w:szCs w:val="24"/>
          <w:shd w:val="clear" w:color="auto" w:fill="FFFFFF"/>
        </w:rPr>
        <w:t>patients</w:t>
      </w:r>
      <w:r w:rsidRPr="002906BC">
        <w:rPr>
          <w:rFonts w:asciiTheme="majorBidi" w:hAnsiTheme="majorBidi" w:cstheme="majorBidi"/>
          <w:sz w:val="24"/>
          <w:szCs w:val="24"/>
          <w:shd w:val="clear" w:color="auto" w:fill="FFFFFF"/>
        </w:rPr>
        <w:t xml:space="preserve">, </w:t>
      </w:r>
      <w:r w:rsidR="00F70A9A" w:rsidRPr="002906BC">
        <w:rPr>
          <w:rFonts w:asciiTheme="majorBidi" w:hAnsiTheme="majorBidi" w:cstheme="majorBidi"/>
          <w:sz w:val="24"/>
          <w:szCs w:val="24"/>
          <w:shd w:val="clear" w:color="auto" w:fill="FFFFFF"/>
        </w:rPr>
        <w:t>8</w:t>
      </w:r>
      <w:r w:rsidRPr="002906BC">
        <w:rPr>
          <w:rFonts w:asciiTheme="majorBidi" w:hAnsiTheme="majorBidi" w:cstheme="majorBidi"/>
          <w:sz w:val="24"/>
          <w:szCs w:val="24"/>
          <w:shd w:val="clear" w:color="auto" w:fill="FFFFFF"/>
        </w:rPr>
        <w:t xml:space="preserve"> samples (</w:t>
      </w:r>
      <w:r w:rsidR="00F70A9A" w:rsidRPr="002906BC">
        <w:rPr>
          <w:rFonts w:asciiTheme="majorBidi" w:hAnsiTheme="majorBidi" w:cstheme="majorBidi"/>
          <w:sz w:val="24"/>
          <w:szCs w:val="24"/>
          <w:shd w:val="clear" w:color="auto" w:fill="FFFFFF"/>
        </w:rPr>
        <w:t>13.3</w:t>
      </w:r>
      <w:r w:rsidRPr="002906BC">
        <w:rPr>
          <w:rFonts w:asciiTheme="majorBidi" w:hAnsiTheme="majorBidi" w:cstheme="majorBidi"/>
          <w:sz w:val="24"/>
          <w:szCs w:val="24"/>
          <w:shd w:val="clear" w:color="auto" w:fill="FFFFFF"/>
        </w:rPr>
        <w:t xml:space="preserve">%) were the </w:t>
      </w:r>
      <w:r w:rsidR="00F70A9A" w:rsidRPr="002906BC">
        <w:rPr>
          <w:rFonts w:asciiTheme="majorBidi" w:hAnsiTheme="majorBidi" w:cstheme="majorBidi"/>
          <w:sz w:val="24"/>
          <w:szCs w:val="24"/>
          <w:shd w:val="clear" w:color="auto" w:fill="FFFFFF"/>
        </w:rPr>
        <w:t>GG</w:t>
      </w:r>
      <w:r w:rsidRPr="002906BC">
        <w:rPr>
          <w:rFonts w:asciiTheme="majorBidi" w:hAnsiTheme="majorBidi" w:cstheme="majorBidi"/>
          <w:sz w:val="24"/>
          <w:szCs w:val="24"/>
          <w:shd w:val="clear" w:color="auto" w:fill="FFFFFF"/>
        </w:rPr>
        <w:t xml:space="preserve"> genotype, </w:t>
      </w:r>
      <w:r w:rsidR="00F70A9A" w:rsidRPr="002906BC">
        <w:rPr>
          <w:rFonts w:asciiTheme="majorBidi" w:hAnsiTheme="majorBidi" w:cstheme="majorBidi"/>
          <w:sz w:val="24"/>
          <w:szCs w:val="24"/>
          <w:shd w:val="clear" w:color="auto" w:fill="FFFFFF"/>
        </w:rPr>
        <w:t>29</w:t>
      </w:r>
      <w:r w:rsidRPr="002906BC">
        <w:rPr>
          <w:rFonts w:asciiTheme="majorBidi" w:hAnsiTheme="majorBidi" w:cstheme="majorBidi"/>
          <w:sz w:val="24"/>
          <w:szCs w:val="24"/>
          <w:shd w:val="clear" w:color="auto" w:fill="FFFFFF"/>
        </w:rPr>
        <w:t xml:space="preserve"> samples (</w:t>
      </w:r>
      <w:r w:rsidR="00F70A9A" w:rsidRPr="002906BC">
        <w:rPr>
          <w:rFonts w:asciiTheme="majorBidi" w:hAnsiTheme="majorBidi" w:cstheme="majorBidi"/>
          <w:sz w:val="24"/>
          <w:szCs w:val="24"/>
          <w:shd w:val="clear" w:color="auto" w:fill="FFFFFF"/>
        </w:rPr>
        <w:t>48.4</w:t>
      </w:r>
      <w:r w:rsidRPr="002906BC">
        <w:rPr>
          <w:rFonts w:asciiTheme="majorBidi" w:hAnsiTheme="majorBidi" w:cstheme="majorBidi"/>
          <w:sz w:val="24"/>
          <w:szCs w:val="24"/>
          <w:shd w:val="clear" w:color="auto" w:fill="FFFFFF"/>
        </w:rPr>
        <w:t xml:space="preserve">%) were the </w:t>
      </w:r>
      <w:r w:rsidR="00F70A9A" w:rsidRPr="002906BC">
        <w:rPr>
          <w:rFonts w:asciiTheme="majorBidi" w:hAnsiTheme="majorBidi" w:cstheme="majorBidi"/>
          <w:sz w:val="24"/>
          <w:szCs w:val="24"/>
          <w:shd w:val="clear" w:color="auto" w:fill="FFFFFF"/>
        </w:rPr>
        <w:t>AG</w:t>
      </w:r>
      <w:r w:rsidRPr="002906BC">
        <w:rPr>
          <w:rFonts w:asciiTheme="majorBidi" w:hAnsiTheme="majorBidi" w:cstheme="majorBidi"/>
          <w:sz w:val="24"/>
          <w:szCs w:val="24"/>
          <w:shd w:val="clear" w:color="auto" w:fill="FFFFFF"/>
        </w:rPr>
        <w:t xml:space="preserve"> genotype</w:t>
      </w:r>
      <w:r w:rsidR="00F70A9A" w:rsidRPr="002906BC">
        <w:rPr>
          <w:rFonts w:asciiTheme="majorBidi" w:hAnsiTheme="majorBidi" w:cstheme="majorBidi"/>
          <w:sz w:val="24"/>
          <w:szCs w:val="24"/>
          <w:shd w:val="clear" w:color="auto" w:fill="FFFFFF"/>
        </w:rPr>
        <w:t xml:space="preserve"> and 23 samples (38.3%) were the AA genotype</w:t>
      </w:r>
      <w:r w:rsidRPr="002906BC">
        <w:rPr>
          <w:rFonts w:asciiTheme="majorBidi" w:hAnsiTheme="majorBidi" w:cstheme="majorBidi"/>
          <w:sz w:val="24"/>
          <w:szCs w:val="24"/>
          <w:shd w:val="clear" w:color="auto" w:fill="FFFFFF"/>
        </w:rPr>
        <w:t xml:space="preserve">. The allele frequencies were </w:t>
      </w:r>
      <w:r w:rsidR="00C82BD4" w:rsidRPr="002906BC">
        <w:rPr>
          <w:rFonts w:asciiTheme="majorBidi" w:hAnsiTheme="majorBidi" w:cstheme="majorBidi"/>
          <w:sz w:val="24"/>
          <w:szCs w:val="24"/>
          <w:shd w:val="clear" w:color="auto" w:fill="FFFFFF"/>
        </w:rPr>
        <w:t>62.5</w:t>
      </w:r>
      <w:r w:rsidRPr="002906BC">
        <w:rPr>
          <w:rFonts w:asciiTheme="majorBidi" w:hAnsiTheme="majorBidi" w:cstheme="majorBidi"/>
          <w:sz w:val="24"/>
          <w:szCs w:val="24"/>
          <w:shd w:val="clear" w:color="auto" w:fill="FFFFFF"/>
        </w:rPr>
        <w:t xml:space="preserve">% and </w:t>
      </w:r>
      <w:r w:rsidR="00C82BD4" w:rsidRPr="002906BC">
        <w:rPr>
          <w:rFonts w:asciiTheme="majorBidi" w:hAnsiTheme="majorBidi" w:cstheme="majorBidi"/>
          <w:sz w:val="24"/>
          <w:szCs w:val="24"/>
          <w:shd w:val="clear" w:color="auto" w:fill="FFFFFF"/>
        </w:rPr>
        <w:t>37.5</w:t>
      </w:r>
      <w:r w:rsidRPr="002906BC">
        <w:rPr>
          <w:rFonts w:asciiTheme="majorBidi" w:hAnsiTheme="majorBidi" w:cstheme="majorBidi"/>
          <w:sz w:val="24"/>
          <w:szCs w:val="24"/>
          <w:shd w:val="clear" w:color="auto" w:fill="FFFFFF"/>
        </w:rPr>
        <w:t xml:space="preserve">% for the </w:t>
      </w:r>
      <w:r w:rsidR="00C82BD4" w:rsidRPr="002906BC">
        <w:rPr>
          <w:rFonts w:asciiTheme="majorBidi" w:hAnsiTheme="majorBidi" w:cstheme="majorBidi"/>
          <w:sz w:val="24"/>
          <w:szCs w:val="24"/>
          <w:shd w:val="clear" w:color="auto" w:fill="FFFFFF"/>
        </w:rPr>
        <w:t>A</w:t>
      </w:r>
      <w:r w:rsidRPr="002906BC">
        <w:rPr>
          <w:rFonts w:asciiTheme="majorBidi" w:hAnsiTheme="majorBidi" w:cstheme="majorBidi"/>
          <w:sz w:val="24"/>
          <w:szCs w:val="24"/>
          <w:shd w:val="clear" w:color="auto" w:fill="FFFFFF"/>
        </w:rPr>
        <w:t xml:space="preserve"> allele and </w:t>
      </w:r>
      <w:r w:rsidR="00C82BD4" w:rsidRPr="002906BC">
        <w:rPr>
          <w:rFonts w:asciiTheme="majorBidi" w:hAnsiTheme="majorBidi" w:cstheme="majorBidi"/>
          <w:sz w:val="24"/>
          <w:szCs w:val="24"/>
          <w:shd w:val="clear" w:color="auto" w:fill="FFFFFF"/>
        </w:rPr>
        <w:t>G</w:t>
      </w:r>
      <w:r w:rsidRPr="002906BC">
        <w:rPr>
          <w:rFonts w:asciiTheme="majorBidi" w:hAnsiTheme="majorBidi" w:cstheme="majorBidi"/>
          <w:sz w:val="24"/>
          <w:szCs w:val="24"/>
          <w:shd w:val="clear" w:color="auto" w:fill="FFFFFF"/>
        </w:rPr>
        <w:t xml:space="preserve"> allele, respectively. The distribution of genotypes was in Hardy</w:t>
      </w:r>
      <w:r w:rsidRPr="002906BC">
        <w:rPr>
          <w:rFonts w:ascii="Cambria Math" w:hAnsi="Cambria Math" w:cs="Cambria Math"/>
          <w:sz w:val="24"/>
          <w:szCs w:val="24"/>
          <w:shd w:val="clear" w:color="auto" w:fill="FFFFFF"/>
        </w:rPr>
        <w:t>‐</w:t>
      </w:r>
      <w:r w:rsidRPr="002906BC">
        <w:rPr>
          <w:rFonts w:asciiTheme="majorBidi" w:hAnsiTheme="majorBidi" w:cstheme="majorBidi"/>
          <w:sz w:val="24"/>
          <w:szCs w:val="24"/>
          <w:shd w:val="clear" w:color="auto" w:fill="FFFFFF"/>
        </w:rPr>
        <w:t>Weinberg equilibrium (</w:t>
      </w:r>
      <w:r w:rsidRPr="002906BC">
        <w:rPr>
          <w:rStyle w:val="Emphasis"/>
          <w:rFonts w:asciiTheme="majorBidi" w:hAnsiTheme="majorBidi" w:cstheme="majorBidi"/>
          <w:sz w:val="24"/>
          <w:szCs w:val="24"/>
          <w:shd w:val="clear" w:color="auto" w:fill="FFFFFF"/>
        </w:rPr>
        <w:t>χ</w:t>
      </w:r>
      <w:r w:rsidRPr="002906BC">
        <w:rPr>
          <w:rFonts w:asciiTheme="majorBidi" w:hAnsiTheme="majorBidi" w:cstheme="majorBidi"/>
          <w:sz w:val="24"/>
          <w:szCs w:val="24"/>
          <w:shd w:val="clear" w:color="auto" w:fill="FFFFFF"/>
        </w:rPr>
        <w:t> </w:t>
      </w:r>
      <w:r w:rsidRPr="002906BC">
        <w:rPr>
          <w:rFonts w:asciiTheme="majorBidi" w:hAnsiTheme="majorBidi" w:cstheme="majorBidi"/>
          <w:sz w:val="24"/>
          <w:szCs w:val="24"/>
          <w:shd w:val="clear" w:color="auto" w:fill="FFFFFF"/>
          <w:vertAlign w:val="superscript"/>
        </w:rPr>
        <w:t>2</w:t>
      </w:r>
      <w:r w:rsidRPr="002906BC">
        <w:rPr>
          <w:rFonts w:asciiTheme="majorBidi" w:hAnsiTheme="majorBidi" w:cstheme="majorBidi"/>
          <w:sz w:val="24"/>
          <w:szCs w:val="24"/>
          <w:shd w:val="clear" w:color="auto" w:fill="FFFFFF"/>
        </w:rPr>
        <w:t> = </w:t>
      </w:r>
      <w:r w:rsidR="00C82BD4" w:rsidRPr="002906BC">
        <w:rPr>
          <w:rFonts w:asciiTheme="majorBidi" w:hAnsiTheme="majorBidi" w:cstheme="majorBidi"/>
          <w:sz w:val="24"/>
          <w:szCs w:val="24"/>
          <w:shd w:val="clear" w:color="auto" w:fill="FFFFFF"/>
        </w:rPr>
        <w:t>0.0581</w:t>
      </w:r>
      <w:r w:rsidRPr="002906BC">
        <w:rPr>
          <w:rFonts w:asciiTheme="majorBidi" w:hAnsiTheme="majorBidi" w:cstheme="majorBidi"/>
          <w:sz w:val="24"/>
          <w:szCs w:val="24"/>
          <w:shd w:val="clear" w:color="auto" w:fill="FFFFFF"/>
        </w:rPr>
        <w:t>; </w:t>
      </w:r>
      <w:r w:rsidRPr="002906BC">
        <w:rPr>
          <w:rStyle w:val="Emphasis"/>
          <w:rFonts w:asciiTheme="majorBidi" w:hAnsiTheme="majorBidi" w:cstheme="majorBidi"/>
          <w:sz w:val="24"/>
          <w:szCs w:val="24"/>
          <w:shd w:val="clear" w:color="auto" w:fill="FFFFFF"/>
        </w:rPr>
        <w:t>P</w:t>
      </w:r>
      <w:r w:rsidRPr="002906BC">
        <w:rPr>
          <w:rFonts w:asciiTheme="majorBidi" w:hAnsiTheme="majorBidi" w:cstheme="majorBidi"/>
          <w:sz w:val="24"/>
          <w:szCs w:val="24"/>
          <w:shd w:val="clear" w:color="auto" w:fill="FFFFFF"/>
        </w:rPr>
        <w:t> </w:t>
      </w:r>
      <w:r w:rsidR="00C82BD4" w:rsidRPr="002906BC">
        <w:rPr>
          <w:rFonts w:asciiTheme="majorBidi" w:hAnsiTheme="majorBidi" w:cstheme="majorBidi"/>
          <w:sz w:val="24"/>
          <w:szCs w:val="24"/>
          <w:shd w:val="clear" w:color="auto" w:fill="FFFFFF"/>
        </w:rPr>
        <w:t>&gt; 0.05</w:t>
      </w:r>
      <w:r w:rsidRPr="002906BC">
        <w:rPr>
          <w:rFonts w:asciiTheme="majorBidi" w:hAnsiTheme="majorBidi" w:cstheme="majorBidi"/>
          <w:sz w:val="24"/>
          <w:szCs w:val="24"/>
          <w:shd w:val="clear" w:color="auto" w:fill="FFFFFF"/>
        </w:rPr>
        <w:t>).</w:t>
      </w:r>
    </w:p>
    <w:p w:rsidR="006478CE" w:rsidRPr="002906BC" w:rsidRDefault="006478CE" w:rsidP="00275B2E">
      <w:pPr>
        <w:bidi w:val="0"/>
        <w:jc w:val="both"/>
        <w:rPr>
          <w:rFonts w:asciiTheme="majorBidi" w:hAnsiTheme="majorBidi" w:cstheme="majorBidi"/>
          <w:sz w:val="24"/>
          <w:szCs w:val="24"/>
          <w:lang w:bidi="ar-IQ"/>
        </w:rPr>
      </w:pPr>
      <w:r w:rsidRPr="002906BC">
        <w:rPr>
          <w:rFonts w:asciiTheme="majorBidi" w:hAnsiTheme="majorBidi" w:cstheme="majorBidi"/>
          <w:noProof/>
        </w:rPr>
        <w:drawing>
          <wp:inline distT="0" distB="0" distL="0" distR="0" wp14:anchorId="5EB3B3DD" wp14:editId="2F08014C">
            <wp:extent cx="5348378" cy="1837426"/>
            <wp:effectExtent l="0" t="0" r="508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48779" cy="1837564"/>
                    </a:xfrm>
                    <a:prstGeom prst="rect">
                      <a:avLst/>
                    </a:prstGeom>
                    <a:noFill/>
                    <a:ln w="9525">
                      <a:noFill/>
                      <a:miter lim="800000"/>
                      <a:headEnd/>
                      <a:tailEnd/>
                    </a:ln>
                  </pic:spPr>
                </pic:pic>
              </a:graphicData>
            </a:graphic>
          </wp:inline>
        </w:drawing>
      </w:r>
    </w:p>
    <w:p w:rsidR="00B2388B" w:rsidRPr="002906BC" w:rsidRDefault="00C82BD4" w:rsidP="00C82BD4">
      <w:pPr>
        <w:bidi w:val="0"/>
        <w:jc w:val="both"/>
        <w:rPr>
          <w:rFonts w:asciiTheme="majorBidi" w:hAnsiTheme="majorBidi" w:cstheme="majorBidi"/>
          <w:shd w:val="clear" w:color="auto" w:fill="FFFCF0"/>
        </w:rPr>
      </w:pPr>
      <w:proofErr w:type="spellStart"/>
      <w:r w:rsidRPr="002906BC">
        <w:rPr>
          <w:rFonts w:asciiTheme="majorBidi" w:hAnsiTheme="majorBidi" w:cstheme="majorBidi"/>
          <w:shd w:val="clear" w:color="auto" w:fill="FFFCF0"/>
        </w:rPr>
        <w:t>Electrophoretogram</w:t>
      </w:r>
      <w:proofErr w:type="spellEnd"/>
      <w:r w:rsidRPr="002906BC">
        <w:rPr>
          <w:rFonts w:asciiTheme="majorBidi" w:hAnsiTheme="majorBidi" w:cstheme="majorBidi"/>
          <w:shd w:val="clear" w:color="auto" w:fill="FFFCF0"/>
        </w:rPr>
        <w:t xml:space="preserve"> of T</w:t>
      </w:r>
      <w:r w:rsidRPr="002906BC">
        <w:rPr>
          <w:rFonts w:ascii="Cambria Math" w:hAnsi="Cambria Math" w:cs="Cambria Math"/>
          <w:shd w:val="clear" w:color="auto" w:fill="FFFCF0"/>
        </w:rPr>
        <w:t>‐</w:t>
      </w:r>
      <w:r w:rsidRPr="002906BC">
        <w:rPr>
          <w:rFonts w:asciiTheme="majorBidi" w:hAnsiTheme="majorBidi" w:cstheme="majorBidi"/>
          <w:shd w:val="clear" w:color="auto" w:fill="FFFCF0"/>
        </w:rPr>
        <w:t>ARMS</w:t>
      </w:r>
      <w:r w:rsidRPr="002906BC">
        <w:rPr>
          <w:rFonts w:ascii="Cambria Math" w:hAnsi="Cambria Math" w:cs="Cambria Math"/>
          <w:shd w:val="clear" w:color="auto" w:fill="FFFCF0"/>
        </w:rPr>
        <w:t>‐</w:t>
      </w:r>
      <w:r w:rsidRPr="002906BC">
        <w:rPr>
          <w:rFonts w:asciiTheme="majorBidi" w:hAnsiTheme="majorBidi" w:cstheme="majorBidi"/>
          <w:shd w:val="clear" w:color="auto" w:fill="FFFCF0"/>
        </w:rPr>
        <w:t>PCR results of CTLA-4 (+49A/G) Gene Polymorphism. Lane M is the DNA size standard marker; lane 1&amp;5 is the products of the DNA fragment (GA genotype), with three bands at 229 </w:t>
      </w:r>
      <w:proofErr w:type="spellStart"/>
      <w:r w:rsidRPr="002906BC">
        <w:rPr>
          <w:rFonts w:asciiTheme="majorBidi" w:hAnsiTheme="majorBidi" w:cstheme="majorBidi"/>
          <w:shd w:val="clear" w:color="auto" w:fill="FFFCF0"/>
        </w:rPr>
        <w:t>bp</w:t>
      </w:r>
      <w:proofErr w:type="spellEnd"/>
      <w:r w:rsidRPr="002906BC">
        <w:rPr>
          <w:rFonts w:asciiTheme="majorBidi" w:hAnsiTheme="majorBidi" w:cstheme="majorBidi"/>
          <w:shd w:val="clear" w:color="auto" w:fill="FFFCF0"/>
        </w:rPr>
        <w:t xml:space="preserve">, 162 </w:t>
      </w:r>
      <w:proofErr w:type="spellStart"/>
      <w:r w:rsidRPr="002906BC">
        <w:rPr>
          <w:rFonts w:asciiTheme="majorBidi" w:hAnsiTheme="majorBidi" w:cstheme="majorBidi"/>
          <w:shd w:val="clear" w:color="auto" w:fill="FFFCF0"/>
        </w:rPr>
        <w:t>bp</w:t>
      </w:r>
      <w:proofErr w:type="spellEnd"/>
      <w:r w:rsidRPr="002906BC">
        <w:rPr>
          <w:rFonts w:asciiTheme="majorBidi" w:hAnsiTheme="majorBidi" w:cstheme="majorBidi"/>
          <w:shd w:val="clear" w:color="auto" w:fill="FFFCF0"/>
        </w:rPr>
        <w:t xml:space="preserve"> and 120 </w:t>
      </w:r>
      <w:proofErr w:type="spellStart"/>
      <w:r w:rsidRPr="002906BC">
        <w:rPr>
          <w:rFonts w:asciiTheme="majorBidi" w:hAnsiTheme="majorBidi" w:cstheme="majorBidi"/>
          <w:shd w:val="clear" w:color="auto" w:fill="FFFCF0"/>
        </w:rPr>
        <w:t>bp</w:t>
      </w:r>
      <w:proofErr w:type="spellEnd"/>
      <w:r w:rsidRPr="002906BC">
        <w:rPr>
          <w:rFonts w:asciiTheme="majorBidi" w:hAnsiTheme="majorBidi" w:cstheme="majorBidi"/>
          <w:shd w:val="clear" w:color="auto" w:fill="FFFCF0"/>
        </w:rPr>
        <w:t>; lanes 2, 6 and 7 are the products of the GG genotype, with two bands of 229 </w:t>
      </w:r>
      <w:proofErr w:type="spellStart"/>
      <w:r w:rsidRPr="002906BC">
        <w:rPr>
          <w:rFonts w:asciiTheme="majorBidi" w:hAnsiTheme="majorBidi" w:cstheme="majorBidi"/>
          <w:shd w:val="clear" w:color="auto" w:fill="FFFCF0"/>
        </w:rPr>
        <w:t>bp</w:t>
      </w:r>
      <w:proofErr w:type="spellEnd"/>
      <w:r w:rsidRPr="002906BC">
        <w:rPr>
          <w:rFonts w:asciiTheme="majorBidi" w:hAnsiTheme="majorBidi" w:cstheme="majorBidi"/>
          <w:shd w:val="clear" w:color="auto" w:fill="FFFCF0"/>
        </w:rPr>
        <w:t xml:space="preserve"> and 120 </w:t>
      </w:r>
      <w:proofErr w:type="spellStart"/>
      <w:r w:rsidRPr="002906BC">
        <w:rPr>
          <w:rFonts w:asciiTheme="majorBidi" w:hAnsiTheme="majorBidi" w:cstheme="majorBidi"/>
          <w:shd w:val="clear" w:color="auto" w:fill="FFFCF0"/>
        </w:rPr>
        <w:t>bp</w:t>
      </w:r>
      <w:proofErr w:type="spellEnd"/>
      <w:r w:rsidRPr="002906BC">
        <w:rPr>
          <w:rFonts w:asciiTheme="majorBidi" w:hAnsiTheme="majorBidi" w:cstheme="majorBidi"/>
          <w:shd w:val="clear" w:color="auto" w:fill="FFFCF0"/>
        </w:rPr>
        <w:t>; lanes 3 and 4 are the results of AA genotype with two bands of 229 </w:t>
      </w:r>
      <w:proofErr w:type="spellStart"/>
      <w:r w:rsidRPr="002906BC">
        <w:rPr>
          <w:rFonts w:asciiTheme="majorBidi" w:hAnsiTheme="majorBidi" w:cstheme="majorBidi"/>
          <w:shd w:val="clear" w:color="auto" w:fill="FFFCF0"/>
        </w:rPr>
        <w:t>bp</w:t>
      </w:r>
      <w:proofErr w:type="spellEnd"/>
      <w:r w:rsidRPr="002906BC">
        <w:rPr>
          <w:rFonts w:asciiTheme="majorBidi" w:hAnsiTheme="majorBidi" w:cstheme="majorBidi"/>
          <w:shd w:val="clear" w:color="auto" w:fill="FFFCF0"/>
        </w:rPr>
        <w:t>, and 162 </w:t>
      </w:r>
      <w:proofErr w:type="spellStart"/>
      <w:r w:rsidRPr="002906BC">
        <w:rPr>
          <w:rFonts w:asciiTheme="majorBidi" w:hAnsiTheme="majorBidi" w:cstheme="majorBidi"/>
          <w:shd w:val="clear" w:color="auto" w:fill="FFFCF0"/>
        </w:rPr>
        <w:t>bp.</w:t>
      </w:r>
      <w:proofErr w:type="spellEnd"/>
    </w:p>
    <w:p w:rsidR="00AB5C36" w:rsidRPr="002906BC" w:rsidRDefault="00AB5C36" w:rsidP="00AB5C36">
      <w:pPr>
        <w:bidi w:val="0"/>
        <w:jc w:val="both"/>
        <w:rPr>
          <w:rFonts w:asciiTheme="majorBidi" w:hAnsiTheme="majorBidi" w:cstheme="majorBidi"/>
          <w:shd w:val="clear" w:color="auto" w:fill="FFFCF0"/>
        </w:rPr>
      </w:pPr>
    </w:p>
    <w:p w:rsidR="003142C4" w:rsidRPr="002906BC" w:rsidRDefault="003142C4" w:rsidP="00AB5C36">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References</w:t>
      </w:r>
    </w:p>
    <w:p w:rsidR="003142C4" w:rsidRPr="002906BC" w:rsidRDefault="003142C4" w:rsidP="003142C4">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Prahalad</w:t>
      </w:r>
      <w:proofErr w:type="spellEnd"/>
      <w:r w:rsidRPr="002906BC">
        <w:rPr>
          <w:rFonts w:asciiTheme="majorBidi" w:hAnsiTheme="majorBidi" w:cstheme="majorBidi"/>
          <w:sz w:val="24"/>
          <w:szCs w:val="24"/>
          <w:lang w:bidi="ar-IQ"/>
        </w:rPr>
        <w:t xml:space="preserve">, P., Yang, J., </w:t>
      </w:r>
      <w:proofErr w:type="spellStart"/>
      <w:r w:rsidRPr="002906BC">
        <w:rPr>
          <w:rFonts w:asciiTheme="majorBidi" w:hAnsiTheme="majorBidi" w:cstheme="majorBidi"/>
          <w:sz w:val="24"/>
          <w:szCs w:val="24"/>
          <w:lang w:bidi="ar-IQ"/>
        </w:rPr>
        <w:t>Scheinker</w:t>
      </w:r>
      <w:proofErr w:type="spellEnd"/>
      <w:r w:rsidRPr="002906BC">
        <w:rPr>
          <w:rFonts w:asciiTheme="majorBidi" w:hAnsiTheme="majorBidi" w:cstheme="majorBidi"/>
          <w:sz w:val="24"/>
          <w:szCs w:val="24"/>
          <w:lang w:bidi="ar-IQ"/>
        </w:rPr>
        <w:t xml:space="preserve">, D., Desai, M., Hood, K., &amp; </w:t>
      </w:r>
      <w:proofErr w:type="spellStart"/>
      <w:r w:rsidRPr="002906BC">
        <w:rPr>
          <w:rFonts w:asciiTheme="majorBidi" w:hAnsiTheme="majorBidi" w:cstheme="majorBidi"/>
          <w:sz w:val="24"/>
          <w:szCs w:val="24"/>
          <w:lang w:bidi="ar-IQ"/>
        </w:rPr>
        <w:t>Maahs</w:t>
      </w:r>
      <w:proofErr w:type="spellEnd"/>
      <w:r w:rsidRPr="002906BC">
        <w:rPr>
          <w:rFonts w:asciiTheme="majorBidi" w:hAnsiTheme="majorBidi" w:cstheme="majorBidi"/>
          <w:sz w:val="24"/>
          <w:szCs w:val="24"/>
          <w:lang w:bidi="ar-IQ"/>
        </w:rPr>
        <w:t xml:space="preserve">, D. M. (2019). Hemoglobin </w:t>
      </w:r>
      <w:proofErr w:type="gramStart"/>
      <w:r w:rsidRPr="002906BC">
        <w:rPr>
          <w:rFonts w:asciiTheme="majorBidi" w:hAnsiTheme="majorBidi" w:cstheme="majorBidi"/>
          <w:sz w:val="24"/>
          <w:szCs w:val="24"/>
          <w:lang w:bidi="ar-IQ"/>
        </w:rPr>
        <w:t>A1c</w:t>
      </w:r>
      <w:proofErr w:type="gramEnd"/>
      <w:r w:rsidRPr="002906BC">
        <w:rPr>
          <w:rFonts w:asciiTheme="majorBidi" w:hAnsiTheme="majorBidi" w:cstheme="majorBidi"/>
          <w:sz w:val="24"/>
          <w:szCs w:val="24"/>
          <w:lang w:bidi="ar-IQ"/>
        </w:rPr>
        <w:t xml:space="preserve"> trajectory in pediatric patients with newly diagnosed type 1 diabetes. Diabetes technology &amp; therapeutics, 21(8), 456-461.</w:t>
      </w:r>
      <w:r w:rsidRPr="002906BC">
        <w:rPr>
          <w:rFonts w:asciiTheme="majorBidi" w:hAnsiTheme="majorBidi" w:cstheme="majorBidi"/>
          <w:sz w:val="24"/>
          <w:szCs w:val="24"/>
          <w:rtl/>
          <w:lang w:bidi="ar-IQ"/>
        </w:rPr>
        <w:t>‏</w:t>
      </w:r>
    </w:p>
    <w:p w:rsidR="003142C4" w:rsidRPr="002906BC" w:rsidRDefault="003142C4" w:rsidP="003142C4">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Prahalad</w:t>
      </w:r>
      <w:proofErr w:type="spellEnd"/>
      <w:r w:rsidRPr="002906BC">
        <w:rPr>
          <w:rFonts w:asciiTheme="majorBidi" w:hAnsiTheme="majorBidi" w:cstheme="majorBidi"/>
          <w:sz w:val="24"/>
          <w:szCs w:val="24"/>
          <w:lang w:bidi="ar-IQ"/>
        </w:rPr>
        <w:t xml:space="preserve">, P., Ding, V. Y., </w:t>
      </w:r>
      <w:proofErr w:type="spellStart"/>
      <w:r w:rsidRPr="002906BC">
        <w:rPr>
          <w:rFonts w:asciiTheme="majorBidi" w:hAnsiTheme="majorBidi" w:cstheme="majorBidi"/>
          <w:sz w:val="24"/>
          <w:szCs w:val="24"/>
          <w:lang w:bidi="ar-IQ"/>
        </w:rPr>
        <w:t>Zaharieva</w:t>
      </w:r>
      <w:proofErr w:type="spellEnd"/>
      <w:r w:rsidRPr="002906BC">
        <w:rPr>
          <w:rFonts w:asciiTheme="majorBidi" w:hAnsiTheme="majorBidi" w:cstheme="majorBidi"/>
          <w:sz w:val="24"/>
          <w:szCs w:val="24"/>
          <w:lang w:bidi="ar-IQ"/>
        </w:rPr>
        <w:t xml:space="preserve">, D. P., </w:t>
      </w:r>
      <w:proofErr w:type="spellStart"/>
      <w:r w:rsidRPr="002906BC">
        <w:rPr>
          <w:rFonts w:asciiTheme="majorBidi" w:hAnsiTheme="majorBidi" w:cstheme="majorBidi"/>
          <w:sz w:val="24"/>
          <w:szCs w:val="24"/>
          <w:lang w:bidi="ar-IQ"/>
        </w:rPr>
        <w:t>Addala</w:t>
      </w:r>
      <w:proofErr w:type="spellEnd"/>
      <w:r w:rsidRPr="002906BC">
        <w:rPr>
          <w:rFonts w:asciiTheme="majorBidi" w:hAnsiTheme="majorBidi" w:cstheme="majorBidi"/>
          <w:sz w:val="24"/>
          <w:szCs w:val="24"/>
          <w:lang w:bidi="ar-IQ"/>
        </w:rPr>
        <w:t xml:space="preserve">, A., </w:t>
      </w:r>
      <w:proofErr w:type="spellStart"/>
      <w:r w:rsidRPr="002906BC">
        <w:rPr>
          <w:rFonts w:asciiTheme="majorBidi" w:hAnsiTheme="majorBidi" w:cstheme="majorBidi"/>
          <w:sz w:val="24"/>
          <w:szCs w:val="24"/>
          <w:lang w:bidi="ar-IQ"/>
        </w:rPr>
        <w:t>Johari</w:t>
      </w:r>
      <w:proofErr w:type="spellEnd"/>
      <w:r w:rsidRPr="002906BC">
        <w:rPr>
          <w:rFonts w:asciiTheme="majorBidi" w:hAnsiTheme="majorBidi" w:cstheme="majorBidi"/>
          <w:sz w:val="24"/>
          <w:szCs w:val="24"/>
          <w:lang w:bidi="ar-IQ"/>
        </w:rPr>
        <w:t xml:space="preserve">, R., </w:t>
      </w:r>
      <w:proofErr w:type="spellStart"/>
      <w:r w:rsidRPr="002906BC">
        <w:rPr>
          <w:rFonts w:asciiTheme="majorBidi" w:hAnsiTheme="majorBidi" w:cstheme="majorBidi"/>
          <w:sz w:val="24"/>
          <w:szCs w:val="24"/>
          <w:lang w:bidi="ar-IQ"/>
        </w:rPr>
        <w:t>Scheinker</w:t>
      </w:r>
      <w:proofErr w:type="spellEnd"/>
      <w:r w:rsidRPr="002906BC">
        <w:rPr>
          <w:rFonts w:asciiTheme="majorBidi" w:hAnsiTheme="majorBidi" w:cstheme="majorBidi"/>
          <w:sz w:val="24"/>
          <w:szCs w:val="24"/>
          <w:lang w:bidi="ar-IQ"/>
        </w:rPr>
        <w:t>, D</w:t>
      </w:r>
      <w:proofErr w:type="gramStart"/>
      <w:r w:rsidRPr="002906BC">
        <w:rPr>
          <w:rFonts w:asciiTheme="majorBidi" w:hAnsiTheme="majorBidi" w:cstheme="majorBidi"/>
          <w:sz w:val="24"/>
          <w:szCs w:val="24"/>
          <w:lang w:bidi="ar-IQ"/>
        </w:rPr>
        <w:t>., ...</w:t>
      </w:r>
      <w:proofErr w:type="gramEnd"/>
      <w:r w:rsidRPr="002906BC">
        <w:rPr>
          <w:rFonts w:asciiTheme="majorBidi" w:hAnsiTheme="majorBidi" w:cstheme="majorBidi"/>
          <w:sz w:val="24"/>
          <w:szCs w:val="24"/>
          <w:lang w:bidi="ar-IQ"/>
        </w:rPr>
        <w:t xml:space="preserve"> &amp; </w:t>
      </w:r>
      <w:proofErr w:type="spellStart"/>
      <w:r w:rsidRPr="002906BC">
        <w:rPr>
          <w:rFonts w:asciiTheme="majorBidi" w:hAnsiTheme="majorBidi" w:cstheme="majorBidi"/>
          <w:sz w:val="24"/>
          <w:szCs w:val="24"/>
          <w:lang w:bidi="ar-IQ"/>
        </w:rPr>
        <w:t>Maahs</w:t>
      </w:r>
      <w:proofErr w:type="spellEnd"/>
      <w:r w:rsidRPr="002906BC">
        <w:rPr>
          <w:rFonts w:asciiTheme="majorBidi" w:hAnsiTheme="majorBidi" w:cstheme="majorBidi"/>
          <w:sz w:val="24"/>
          <w:szCs w:val="24"/>
          <w:lang w:bidi="ar-IQ"/>
        </w:rPr>
        <w:t>, D. M. (2021). Teamwork, Targets, Technology, and Tight Control in Newly Diagnosed Type 1 Diabetes: Pilot 4T Study. The Journal of Clinical Endocrinology &amp; Metabolism.</w:t>
      </w:r>
      <w:r w:rsidRPr="002906BC">
        <w:rPr>
          <w:rFonts w:asciiTheme="majorBidi" w:hAnsiTheme="majorBidi" w:cstheme="majorBidi"/>
          <w:sz w:val="24"/>
          <w:szCs w:val="24"/>
          <w:rtl/>
          <w:lang w:bidi="ar-IQ"/>
        </w:rPr>
        <w:t>‏</w:t>
      </w:r>
    </w:p>
    <w:p w:rsidR="003142C4" w:rsidRPr="002906BC" w:rsidRDefault="003142C4" w:rsidP="003142C4">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Mandal</w:t>
      </w:r>
      <w:proofErr w:type="spellEnd"/>
      <w:r w:rsidRPr="002906BC">
        <w:rPr>
          <w:rFonts w:asciiTheme="majorBidi" w:hAnsiTheme="majorBidi" w:cstheme="majorBidi"/>
          <w:sz w:val="24"/>
          <w:szCs w:val="24"/>
          <w:lang w:bidi="ar-IQ"/>
        </w:rPr>
        <w:t xml:space="preserve">, A., </w:t>
      </w:r>
      <w:proofErr w:type="spellStart"/>
      <w:r w:rsidRPr="002906BC">
        <w:rPr>
          <w:rFonts w:asciiTheme="majorBidi" w:hAnsiTheme="majorBidi" w:cstheme="majorBidi"/>
          <w:sz w:val="24"/>
          <w:szCs w:val="24"/>
          <w:lang w:bidi="ar-IQ"/>
        </w:rPr>
        <w:t>Bhattarai</w:t>
      </w:r>
      <w:proofErr w:type="spellEnd"/>
      <w:r w:rsidRPr="002906BC">
        <w:rPr>
          <w:rFonts w:asciiTheme="majorBidi" w:hAnsiTheme="majorBidi" w:cstheme="majorBidi"/>
          <w:sz w:val="24"/>
          <w:szCs w:val="24"/>
          <w:lang w:bidi="ar-IQ"/>
        </w:rPr>
        <w:t xml:space="preserve">, B., </w:t>
      </w:r>
      <w:proofErr w:type="spellStart"/>
      <w:r w:rsidRPr="002906BC">
        <w:rPr>
          <w:rFonts w:asciiTheme="majorBidi" w:hAnsiTheme="majorBidi" w:cstheme="majorBidi"/>
          <w:sz w:val="24"/>
          <w:szCs w:val="24"/>
          <w:lang w:bidi="ar-IQ"/>
        </w:rPr>
        <w:t>Kafle</w:t>
      </w:r>
      <w:proofErr w:type="spellEnd"/>
      <w:r w:rsidRPr="002906BC">
        <w:rPr>
          <w:rFonts w:asciiTheme="majorBidi" w:hAnsiTheme="majorBidi" w:cstheme="majorBidi"/>
          <w:sz w:val="24"/>
          <w:szCs w:val="24"/>
          <w:lang w:bidi="ar-IQ"/>
        </w:rPr>
        <w:t xml:space="preserve">, P., Khalid, M., </w:t>
      </w:r>
      <w:proofErr w:type="spellStart"/>
      <w:r w:rsidRPr="002906BC">
        <w:rPr>
          <w:rFonts w:asciiTheme="majorBidi" w:hAnsiTheme="majorBidi" w:cstheme="majorBidi"/>
          <w:sz w:val="24"/>
          <w:szCs w:val="24"/>
          <w:lang w:bidi="ar-IQ"/>
        </w:rPr>
        <w:t>Jonnadula</w:t>
      </w:r>
      <w:proofErr w:type="spellEnd"/>
      <w:r w:rsidRPr="002906BC">
        <w:rPr>
          <w:rFonts w:asciiTheme="majorBidi" w:hAnsiTheme="majorBidi" w:cstheme="majorBidi"/>
          <w:sz w:val="24"/>
          <w:szCs w:val="24"/>
          <w:lang w:bidi="ar-IQ"/>
        </w:rPr>
        <w:t xml:space="preserve">, S. K., </w:t>
      </w:r>
      <w:proofErr w:type="spellStart"/>
      <w:r w:rsidRPr="002906BC">
        <w:rPr>
          <w:rFonts w:asciiTheme="majorBidi" w:hAnsiTheme="majorBidi" w:cstheme="majorBidi"/>
          <w:sz w:val="24"/>
          <w:szCs w:val="24"/>
          <w:lang w:bidi="ar-IQ"/>
        </w:rPr>
        <w:t>Lamicchane</w:t>
      </w:r>
      <w:proofErr w:type="spellEnd"/>
      <w:r w:rsidRPr="002906BC">
        <w:rPr>
          <w:rFonts w:asciiTheme="majorBidi" w:hAnsiTheme="majorBidi" w:cstheme="majorBidi"/>
          <w:sz w:val="24"/>
          <w:szCs w:val="24"/>
          <w:lang w:bidi="ar-IQ"/>
        </w:rPr>
        <w:t>, J</w:t>
      </w:r>
      <w:proofErr w:type="gramStart"/>
      <w:r w:rsidRPr="002906BC">
        <w:rPr>
          <w:rFonts w:asciiTheme="majorBidi" w:hAnsiTheme="majorBidi" w:cstheme="majorBidi"/>
          <w:sz w:val="24"/>
          <w:szCs w:val="24"/>
          <w:lang w:bidi="ar-IQ"/>
        </w:rPr>
        <w:t>., ...</w:t>
      </w:r>
      <w:proofErr w:type="gramEnd"/>
      <w:r w:rsidRPr="002906BC">
        <w:rPr>
          <w:rFonts w:asciiTheme="majorBidi" w:hAnsiTheme="majorBidi" w:cstheme="majorBidi"/>
          <w:sz w:val="24"/>
          <w:szCs w:val="24"/>
          <w:lang w:bidi="ar-IQ"/>
        </w:rPr>
        <w:t xml:space="preserve"> &amp; </w:t>
      </w:r>
      <w:proofErr w:type="spellStart"/>
      <w:r w:rsidRPr="002906BC">
        <w:rPr>
          <w:rFonts w:asciiTheme="majorBidi" w:hAnsiTheme="majorBidi" w:cstheme="majorBidi"/>
          <w:sz w:val="24"/>
          <w:szCs w:val="24"/>
          <w:lang w:bidi="ar-IQ"/>
        </w:rPr>
        <w:t>Gayam</w:t>
      </w:r>
      <w:proofErr w:type="spellEnd"/>
      <w:r w:rsidRPr="002906BC">
        <w:rPr>
          <w:rFonts w:asciiTheme="majorBidi" w:hAnsiTheme="majorBidi" w:cstheme="majorBidi"/>
          <w:sz w:val="24"/>
          <w:szCs w:val="24"/>
          <w:lang w:bidi="ar-IQ"/>
        </w:rPr>
        <w:t xml:space="preserve">, V. (2018). Elevated liver enzymes in patients with type 2 diabetes mellitus and non-alcoholic fatty liver disease. </w:t>
      </w:r>
      <w:proofErr w:type="spellStart"/>
      <w:r w:rsidRPr="002906BC">
        <w:rPr>
          <w:rFonts w:asciiTheme="majorBidi" w:hAnsiTheme="majorBidi" w:cstheme="majorBidi"/>
          <w:sz w:val="24"/>
          <w:szCs w:val="24"/>
          <w:lang w:bidi="ar-IQ"/>
        </w:rPr>
        <w:t>Cureus</w:t>
      </w:r>
      <w:proofErr w:type="spellEnd"/>
      <w:r w:rsidRPr="002906BC">
        <w:rPr>
          <w:rFonts w:asciiTheme="majorBidi" w:hAnsiTheme="majorBidi" w:cstheme="majorBidi"/>
          <w:sz w:val="24"/>
          <w:szCs w:val="24"/>
          <w:lang w:bidi="ar-IQ"/>
        </w:rPr>
        <w:t>, 10(11).</w:t>
      </w:r>
    </w:p>
    <w:p w:rsidR="003142C4" w:rsidRPr="002906BC" w:rsidRDefault="003142C4" w:rsidP="003142C4">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Harris, E. H. (2005). Elevated liver function tests in type 2 diabetes. Clinical diabetes, 23(3), 115-119.</w:t>
      </w:r>
      <w:r w:rsidRPr="002906BC">
        <w:rPr>
          <w:rFonts w:asciiTheme="majorBidi" w:hAnsiTheme="majorBidi" w:cstheme="majorBidi"/>
          <w:sz w:val="24"/>
          <w:szCs w:val="24"/>
          <w:rtl/>
          <w:lang w:bidi="ar-IQ"/>
        </w:rPr>
        <w:t>‏‏</w:t>
      </w:r>
    </w:p>
    <w:p w:rsidR="003142C4" w:rsidRPr="002906BC" w:rsidRDefault="003142C4" w:rsidP="003142C4">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lastRenderedPageBreak/>
        <w:t xml:space="preserve">Ueda, H., </w:t>
      </w:r>
      <w:proofErr w:type="spellStart"/>
      <w:r w:rsidRPr="002906BC">
        <w:rPr>
          <w:rFonts w:asciiTheme="majorBidi" w:hAnsiTheme="majorBidi" w:cstheme="majorBidi"/>
          <w:sz w:val="24"/>
          <w:szCs w:val="24"/>
          <w:lang w:bidi="ar-IQ"/>
        </w:rPr>
        <w:t>Howson</w:t>
      </w:r>
      <w:proofErr w:type="spellEnd"/>
      <w:r w:rsidRPr="002906BC">
        <w:rPr>
          <w:rFonts w:asciiTheme="majorBidi" w:hAnsiTheme="majorBidi" w:cstheme="majorBidi"/>
          <w:sz w:val="24"/>
          <w:szCs w:val="24"/>
          <w:lang w:bidi="ar-IQ"/>
        </w:rPr>
        <w:t xml:space="preserve">, J. M., Esposito, L., </w:t>
      </w:r>
      <w:proofErr w:type="spellStart"/>
      <w:r w:rsidRPr="002906BC">
        <w:rPr>
          <w:rFonts w:asciiTheme="majorBidi" w:hAnsiTheme="majorBidi" w:cstheme="majorBidi"/>
          <w:sz w:val="24"/>
          <w:szCs w:val="24"/>
          <w:lang w:bidi="ar-IQ"/>
        </w:rPr>
        <w:t>Heward</w:t>
      </w:r>
      <w:proofErr w:type="spellEnd"/>
      <w:r w:rsidRPr="002906BC">
        <w:rPr>
          <w:rFonts w:asciiTheme="majorBidi" w:hAnsiTheme="majorBidi" w:cstheme="majorBidi"/>
          <w:sz w:val="24"/>
          <w:szCs w:val="24"/>
          <w:lang w:bidi="ar-IQ"/>
        </w:rPr>
        <w:t>, J., Chamberlain, G., Rainbow, D. B</w:t>
      </w:r>
      <w:proofErr w:type="gramStart"/>
      <w:r w:rsidRPr="002906BC">
        <w:rPr>
          <w:rFonts w:asciiTheme="majorBidi" w:hAnsiTheme="majorBidi" w:cstheme="majorBidi"/>
          <w:sz w:val="24"/>
          <w:szCs w:val="24"/>
          <w:lang w:bidi="ar-IQ"/>
        </w:rPr>
        <w:t>., ...</w:t>
      </w:r>
      <w:proofErr w:type="gramEnd"/>
      <w:r w:rsidRPr="002906BC">
        <w:rPr>
          <w:rFonts w:asciiTheme="majorBidi" w:hAnsiTheme="majorBidi" w:cstheme="majorBidi"/>
          <w:sz w:val="24"/>
          <w:szCs w:val="24"/>
          <w:lang w:bidi="ar-IQ"/>
        </w:rPr>
        <w:t xml:space="preserve"> &amp; Gough, S. C. (2003). Association of the T-cell regulatory gene CTLA4 with susceptibility to autoimmune disease. Nature, 423(6939), 506-511.</w:t>
      </w:r>
      <w:r w:rsidRPr="002906BC">
        <w:rPr>
          <w:rFonts w:asciiTheme="majorBidi" w:hAnsiTheme="majorBidi" w:cstheme="majorBidi"/>
          <w:sz w:val="24"/>
          <w:szCs w:val="24"/>
          <w:rtl/>
          <w:lang w:bidi="ar-IQ"/>
        </w:rPr>
        <w:t>‏</w:t>
      </w:r>
    </w:p>
    <w:p w:rsidR="003142C4" w:rsidRPr="002906BC" w:rsidRDefault="003142C4" w:rsidP="003142C4">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Gottenberg</w:t>
      </w:r>
      <w:proofErr w:type="spellEnd"/>
      <w:r w:rsidRPr="002906BC">
        <w:rPr>
          <w:rFonts w:asciiTheme="majorBidi" w:hAnsiTheme="majorBidi" w:cstheme="majorBidi"/>
          <w:sz w:val="24"/>
          <w:szCs w:val="24"/>
          <w:lang w:bidi="ar-IQ"/>
        </w:rPr>
        <w:t xml:space="preserve">, J. E., </w:t>
      </w:r>
      <w:proofErr w:type="spellStart"/>
      <w:r w:rsidRPr="002906BC">
        <w:rPr>
          <w:rFonts w:asciiTheme="majorBidi" w:hAnsiTheme="majorBidi" w:cstheme="majorBidi"/>
          <w:sz w:val="24"/>
          <w:szCs w:val="24"/>
          <w:lang w:bidi="ar-IQ"/>
        </w:rPr>
        <w:t>Loiseau</w:t>
      </w:r>
      <w:proofErr w:type="spellEnd"/>
      <w:r w:rsidRPr="002906BC">
        <w:rPr>
          <w:rFonts w:asciiTheme="majorBidi" w:hAnsiTheme="majorBidi" w:cstheme="majorBidi"/>
          <w:sz w:val="24"/>
          <w:szCs w:val="24"/>
          <w:lang w:bidi="ar-IQ"/>
        </w:rPr>
        <w:t xml:space="preserve">, P., </w:t>
      </w:r>
      <w:proofErr w:type="spellStart"/>
      <w:r w:rsidRPr="002906BC">
        <w:rPr>
          <w:rFonts w:asciiTheme="majorBidi" w:hAnsiTheme="majorBidi" w:cstheme="majorBidi"/>
          <w:sz w:val="24"/>
          <w:szCs w:val="24"/>
          <w:lang w:bidi="ar-IQ"/>
        </w:rPr>
        <w:t>Azarian</w:t>
      </w:r>
      <w:proofErr w:type="spellEnd"/>
      <w:r w:rsidRPr="002906BC">
        <w:rPr>
          <w:rFonts w:asciiTheme="majorBidi" w:hAnsiTheme="majorBidi" w:cstheme="majorBidi"/>
          <w:sz w:val="24"/>
          <w:szCs w:val="24"/>
          <w:lang w:bidi="ar-IQ"/>
        </w:rPr>
        <w:t xml:space="preserve">, M., Chen, C., </w:t>
      </w:r>
      <w:proofErr w:type="spellStart"/>
      <w:r w:rsidRPr="002906BC">
        <w:rPr>
          <w:rFonts w:asciiTheme="majorBidi" w:hAnsiTheme="majorBidi" w:cstheme="majorBidi"/>
          <w:sz w:val="24"/>
          <w:szCs w:val="24"/>
          <w:lang w:bidi="ar-IQ"/>
        </w:rPr>
        <w:t>Cagnard</w:t>
      </w:r>
      <w:proofErr w:type="spellEnd"/>
      <w:r w:rsidRPr="002906BC">
        <w:rPr>
          <w:rFonts w:asciiTheme="majorBidi" w:hAnsiTheme="majorBidi" w:cstheme="majorBidi"/>
          <w:sz w:val="24"/>
          <w:szCs w:val="24"/>
          <w:lang w:bidi="ar-IQ"/>
        </w:rPr>
        <w:t xml:space="preserve">, N., </w:t>
      </w:r>
      <w:proofErr w:type="spellStart"/>
      <w:r w:rsidRPr="002906BC">
        <w:rPr>
          <w:rFonts w:asciiTheme="majorBidi" w:hAnsiTheme="majorBidi" w:cstheme="majorBidi"/>
          <w:sz w:val="24"/>
          <w:szCs w:val="24"/>
          <w:lang w:bidi="ar-IQ"/>
        </w:rPr>
        <w:t>Hachulla</w:t>
      </w:r>
      <w:proofErr w:type="spellEnd"/>
      <w:r w:rsidRPr="002906BC">
        <w:rPr>
          <w:rFonts w:asciiTheme="majorBidi" w:hAnsiTheme="majorBidi" w:cstheme="majorBidi"/>
          <w:sz w:val="24"/>
          <w:szCs w:val="24"/>
          <w:lang w:bidi="ar-IQ"/>
        </w:rPr>
        <w:t>, E</w:t>
      </w:r>
      <w:proofErr w:type="gramStart"/>
      <w:r w:rsidRPr="002906BC">
        <w:rPr>
          <w:rFonts w:asciiTheme="majorBidi" w:hAnsiTheme="majorBidi" w:cstheme="majorBidi"/>
          <w:sz w:val="24"/>
          <w:szCs w:val="24"/>
          <w:lang w:bidi="ar-IQ"/>
        </w:rPr>
        <w:t>., ...</w:t>
      </w:r>
      <w:proofErr w:type="gramEnd"/>
      <w:r w:rsidRPr="002906BC">
        <w:rPr>
          <w:rFonts w:asciiTheme="majorBidi" w:hAnsiTheme="majorBidi" w:cstheme="majorBidi"/>
          <w:sz w:val="24"/>
          <w:szCs w:val="24"/>
          <w:lang w:bidi="ar-IQ"/>
        </w:rPr>
        <w:t xml:space="preserve"> &amp; </w:t>
      </w:r>
      <w:proofErr w:type="spellStart"/>
      <w:r w:rsidRPr="002906BC">
        <w:rPr>
          <w:rFonts w:asciiTheme="majorBidi" w:hAnsiTheme="majorBidi" w:cstheme="majorBidi"/>
          <w:sz w:val="24"/>
          <w:szCs w:val="24"/>
          <w:lang w:bidi="ar-IQ"/>
        </w:rPr>
        <w:t>Miceli</w:t>
      </w:r>
      <w:proofErr w:type="spellEnd"/>
      <w:r w:rsidRPr="002906BC">
        <w:rPr>
          <w:rFonts w:asciiTheme="majorBidi" w:hAnsiTheme="majorBidi" w:cstheme="majorBidi"/>
          <w:sz w:val="24"/>
          <w:szCs w:val="24"/>
          <w:lang w:bidi="ar-IQ"/>
        </w:rPr>
        <w:t xml:space="preserve">-Richard, C. (2007). CTLA-4+ 49A/G and CT60 gene polymorphisms in primary </w:t>
      </w:r>
      <w:proofErr w:type="spellStart"/>
      <w:r w:rsidRPr="002906BC">
        <w:rPr>
          <w:rFonts w:asciiTheme="majorBidi" w:hAnsiTheme="majorBidi" w:cstheme="majorBidi"/>
          <w:sz w:val="24"/>
          <w:szCs w:val="24"/>
          <w:lang w:bidi="ar-IQ"/>
        </w:rPr>
        <w:t>Sjögren</w:t>
      </w:r>
      <w:proofErr w:type="spellEnd"/>
      <w:r w:rsidRPr="002906BC">
        <w:rPr>
          <w:rFonts w:asciiTheme="majorBidi" w:hAnsiTheme="majorBidi" w:cstheme="majorBidi"/>
          <w:sz w:val="24"/>
          <w:szCs w:val="24"/>
          <w:lang w:bidi="ar-IQ"/>
        </w:rPr>
        <w:t xml:space="preserve"> syndrome. Arthritis research &amp; therapy, 9(2), 1-3.</w:t>
      </w:r>
    </w:p>
    <w:p w:rsidR="003142C4" w:rsidRPr="002906BC" w:rsidRDefault="003142C4" w:rsidP="003142C4">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Pastuszak-Lewandoska</w:t>
      </w:r>
      <w:proofErr w:type="spellEnd"/>
      <w:r w:rsidRPr="002906BC">
        <w:rPr>
          <w:rFonts w:asciiTheme="majorBidi" w:hAnsiTheme="majorBidi" w:cstheme="majorBidi"/>
          <w:sz w:val="24"/>
          <w:szCs w:val="24"/>
          <w:lang w:bidi="ar-IQ"/>
        </w:rPr>
        <w:t xml:space="preserve">, D., </w:t>
      </w:r>
      <w:proofErr w:type="spellStart"/>
      <w:r w:rsidRPr="002906BC">
        <w:rPr>
          <w:rFonts w:asciiTheme="majorBidi" w:hAnsiTheme="majorBidi" w:cstheme="majorBidi"/>
          <w:sz w:val="24"/>
          <w:szCs w:val="24"/>
          <w:lang w:bidi="ar-IQ"/>
        </w:rPr>
        <w:t>Sewerynek</w:t>
      </w:r>
      <w:proofErr w:type="spellEnd"/>
      <w:r w:rsidRPr="002906BC">
        <w:rPr>
          <w:rFonts w:asciiTheme="majorBidi" w:hAnsiTheme="majorBidi" w:cstheme="majorBidi"/>
          <w:sz w:val="24"/>
          <w:szCs w:val="24"/>
          <w:lang w:bidi="ar-IQ"/>
        </w:rPr>
        <w:t xml:space="preserve">, E., </w:t>
      </w:r>
      <w:proofErr w:type="spellStart"/>
      <w:r w:rsidRPr="002906BC">
        <w:rPr>
          <w:rFonts w:asciiTheme="majorBidi" w:hAnsiTheme="majorBidi" w:cstheme="majorBidi"/>
          <w:sz w:val="24"/>
          <w:szCs w:val="24"/>
          <w:lang w:bidi="ar-IQ"/>
        </w:rPr>
        <w:t>Domańska</w:t>
      </w:r>
      <w:proofErr w:type="spellEnd"/>
      <w:r w:rsidRPr="002906BC">
        <w:rPr>
          <w:rFonts w:asciiTheme="majorBidi" w:hAnsiTheme="majorBidi" w:cstheme="majorBidi"/>
          <w:sz w:val="24"/>
          <w:szCs w:val="24"/>
          <w:lang w:bidi="ar-IQ"/>
        </w:rPr>
        <w:t xml:space="preserve">, D., </w:t>
      </w:r>
      <w:proofErr w:type="spellStart"/>
      <w:r w:rsidRPr="002906BC">
        <w:rPr>
          <w:rFonts w:asciiTheme="majorBidi" w:hAnsiTheme="majorBidi" w:cstheme="majorBidi"/>
          <w:sz w:val="24"/>
          <w:szCs w:val="24"/>
          <w:lang w:bidi="ar-IQ"/>
        </w:rPr>
        <w:t>Gładyś</w:t>
      </w:r>
      <w:proofErr w:type="spellEnd"/>
      <w:r w:rsidRPr="002906BC">
        <w:rPr>
          <w:rFonts w:asciiTheme="majorBidi" w:hAnsiTheme="majorBidi" w:cstheme="majorBidi"/>
          <w:sz w:val="24"/>
          <w:szCs w:val="24"/>
          <w:lang w:bidi="ar-IQ"/>
        </w:rPr>
        <w:t xml:space="preserve">, A., </w:t>
      </w:r>
      <w:proofErr w:type="spellStart"/>
      <w:r w:rsidRPr="002906BC">
        <w:rPr>
          <w:rFonts w:asciiTheme="majorBidi" w:hAnsiTheme="majorBidi" w:cstheme="majorBidi"/>
          <w:sz w:val="24"/>
          <w:szCs w:val="24"/>
          <w:lang w:bidi="ar-IQ"/>
        </w:rPr>
        <w:t>Skrzypczak</w:t>
      </w:r>
      <w:proofErr w:type="spellEnd"/>
      <w:r w:rsidRPr="002906BC">
        <w:rPr>
          <w:rFonts w:asciiTheme="majorBidi" w:hAnsiTheme="majorBidi" w:cstheme="majorBidi"/>
          <w:sz w:val="24"/>
          <w:szCs w:val="24"/>
          <w:lang w:bidi="ar-IQ"/>
        </w:rPr>
        <w:t xml:space="preserve">, R., &amp; </w:t>
      </w:r>
      <w:proofErr w:type="spellStart"/>
      <w:r w:rsidRPr="002906BC">
        <w:rPr>
          <w:rFonts w:asciiTheme="majorBidi" w:hAnsiTheme="majorBidi" w:cstheme="majorBidi"/>
          <w:sz w:val="24"/>
          <w:szCs w:val="24"/>
          <w:lang w:bidi="ar-IQ"/>
        </w:rPr>
        <w:t>Brzeziańska</w:t>
      </w:r>
      <w:proofErr w:type="spellEnd"/>
      <w:r w:rsidRPr="002906BC">
        <w:rPr>
          <w:rFonts w:asciiTheme="majorBidi" w:hAnsiTheme="majorBidi" w:cstheme="majorBidi"/>
          <w:sz w:val="24"/>
          <w:szCs w:val="24"/>
          <w:lang w:bidi="ar-IQ"/>
        </w:rPr>
        <w:t>, E. (2012). CTLA-4 gene polymorphisms and their influence on predisposition to autoimmune thyroid diseases (Graves’ disease and Hashimoto's thyroiditis). Archives of medical science: AMS, 8(3), 415.</w:t>
      </w:r>
    </w:p>
    <w:p w:rsidR="00AB5C36" w:rsidRPr="002906BC" w:rsidRDefault="003142C4" w:rsidP="001A52D0">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Liu, Z., Song, Z., Sun, J., Sun, F., Li, C., Sun, J., &amp; </w:t>
      </w:r>
      <w:proofErr w:type="spellStart"/>
      <w:r w:rsidRPr="002906BC">
        <w:rPr>
          <w:rFonts w:asciiTheme="majorBidi" w:hAnsiTheme="majorBidi" w:cstheme="majorBidi"/>
          <w:sz w:val="24"/>
          <w:szCs w:val="24"/>
          <w:lang w:bidi="ar-IQ"/>
        </w:rPr>
        <w:t>Xu</w:t>
      </w:r>
      <w:proofErr w:type="spellEnd"/>
      <w:r w:rsidRPr="002906BC">
        <w:rPr>
          <w:rFonts w:asciiTheme="majorBidi" w:hAnsiTheme="majorBidi" w:cstheme="majorBidi"/>
          <w:sz w:val="24"/>
          <w:szCs w:val="24"/>
          <w:lang w:bidi="ar-IQ"/>
        </w:rPr>
        <w:t>, L. (2015). Association between CTLA-4 rs231775 polymorphism and hepatocellular carcinoma susceptibility. International journal of clinical and experimental pathology, 8(11), 15118.</w:t>
      </w:r>
    </w:p>
    <w:p w:rsidR="001A52D0" w:rsidRPr="002906BC" w:rsidRDefault="001A52D0" w:rsidP="001A52D0">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Ihara, K., Ahmed, S., </w:t>
      </w:r>
      <w:proofErr w:type="spellStart"/>
      <w:r w:rsidRPr="002906BC">
        <w:rPr>
          <w:rFonts w:asciiTheme="majorBidi" w:hAnsiTheme="majorBidi" w:cstheme="majorBidi"/>
          <w:sz w:val="24"/>
          <w:szCs w:val="24"/>
          <w:lang w:bidi="ar-IQ"/>
        </w:rPr>
        <w:t>Nakao</w:t>
      </w:r>
      <w:proofErr w:type="spellEnd"/>
      <w:r w:rsidRPr="002906BC">
        <w:rPr>
          <w:rFonts w:asciiTheme="majorBidi" w:hAnsiTheme="majorBidi" w:cstheme="majorBidi"/>
          <w:sz w:val="24"/>
          <w:szCs w:val="24"/>
          <w:lang w:bidi="ar-IQ"/>
        </w:rPr>
        <w:t xml:space="preserve">, F., </w:t>
      </w:r>
      <w:proofErr w:type="spellStart"/>
      <w:r w:rsidRPr="002906BC">
        <w:rPr>
          <w:rFonts w:asciiTheme="majorBidi" w:hAnsiTheme="majorBidi" w:cstheme="majorBidi"/>
          <w:sz w:val="24"/>
          <w:szCs w:val="24"/>
          <w:lang w:bidi="ar-IQ"/>
        </w:rPr>
        <w:t>Kinukawa</w:t>
      </w:r>
      <w:proofErr w:type="spellEnd"/>
      <w:r w:rsidRPr="002906BC">
        <w:rPr>
          <w:rFonts w:asciiTheme="majorBidi" w:hAnsiTheme="majorBidi" w:cstheme="majorBidi"/>
          <w:sz w:val="24"/>
          <w:szCs w:val="24"/>
          <w:lang w:bidi="ar-IQ"/>
        </w:rPr>
        <w:t xml:space="preserve">, N., </w:t>
      </w:r>
      <w:proofErr w:type="spellStart"/>
      <w:r w:rsidRPr="002906BC">
        <w:rPr>
          <w:rFonts w:asciiTheme="majorBidi" w:hAnsiTheme="majorBidi" w:cstheme="majorBidi"/>
          <w:sz w:val="24"/>
          <w:szCs w:val="24"/>
          <w:lang w:bidi="ar-IQ"/>
        </w:rPr>
        <w:t>Kuromaru</w:t>
      </w:r>
      <w:proofErr w:type="spellEnd"/>
      <w:r w:rsidRPr="002906BC">
        <w:rPr>
          <w:rFonts w:asciiTheme="majorBidi" w:hAnsiTheme="majorBidi" w:cstheme="majorBidi"/>
          <w:sz w:val="24"/>
          <w:szCs w:val="24"/>
          <w:lang w:bidi="ar-IQ"/>
        </w:rPr>
        <w:t>, R., Matsuura, N</w:t>
      </w:r>
      <w:proofErr w:type="gramStart"/>
      <w:r w:rsidRPr="002906BC">
        <w:rPr>
          <w:rFonts w:asciiTheme="majorBidi" w:hAnsiTheme="majorBidi" w:cstheme="majorBidi"/>
          <w:sz w:val="24"/>
          <w:szCs w:val="24"/>
          <w:lang w:bidi="ar-IQ"/>
        </w:rPr>
        <w:t>., ...</w:t>
      </w:r>
      <w:proofErr w:type="gramEnd"/>
      <w:r w:rsidRPr="002906BC">
        <w:rPr>
          <w:rFonts w:asciiTheme="majorBidi" w:hAnsiTheme="majorBidi" w:cstheme="majorBidi"/>
          <w:sz w:val="24"/>
          <w:szCs w:val="24"/>
          <w:lang w:bidi="ar-IQ"/>
        </w:rPr>
        <w:t xml:space="preserve"> &amp; Hara, T. (2001). Association studies of CTLA-4, CD28, and ICOS gene polymorphisms with type 1 diabetes in the Japanese population. </w:t>
      </w:r>
      <w:proofErr w:type="spellStart"/>
      <w:r w:rsidRPr="002906BC">
        <w:rPr>
          <w:rFonts w:asciiTheme="majorBidi" w:hAnsiTheme="majorBidi" w:cstheme="majorBidi"/>
          <w:sz w:val="24"/>
          <w:szCs w:val="24"/>
          <w:lang w:bidi="ar-IQ"/>
        </w:rPr>
        <w:t>Immunogenetics</w:t>
      </w:r>
      <w:proofErr w:type="spellEnd"/>
      <w:r w:rsidRPr="002906BC">
        <w:rPr>
          <w:rFonts w:asciiTheme="majorBidi" w:hAnsiTheme="majorBidi" w:cstheme="majorBidi"/>
          <w:sz w:val="24"/>
          <w:szCs w:val="24"/>
          <w:lang w:bidi="ar-IQ"/>
        </w:rPr>
        <w:t>, 53(6), 447-454.</w:t>
      </w:r>
    </w:p>
    <w:p w:rsidR="001A52D0" w:rsidRPr="002906BC" w:rsidRDefault="001A52D0" w:rsidP="001A52D0">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 </w:t>
      </w:r>
      <w:proofErr w:type="spellStart"/>
      <w:r w:rsidRPr="002906BC">
        <w:rPr>
          <w:rFonts w:asciiTheme="majorBidi" w:hAnsiTheme="majorBidi" w:cstheme="majorBidi"/>
          <w:sz w:val="24"/>
          <w:szCs w:val="24"/>
          <w:lang w:bidi="ar-IQ"/>
        </w:rPr>
        <w:t>Marchini</w:t>
      </w:r>
      <w:proofErr w:type="spellEnd"/>
      <w:r w:rsidRPr="002906BC">
        <w:rPr>
          <w:rFonts w:asciiTheme="majorBidi" w:hAnsiTheme="majorBidi" w:cstheme="majorBidi"/>
          <w:sz w:val="24"/>
          <w:szCs w:val="24"/>
          <w:lang w:bidi="ar-IQ"/>
        </w:rPr>
        <w:t xml:space="preserve">, F., Caputo, A., Napoli, A., </w:t>
      </w:r>
      <w:proofErr w:type="spellStart"/>
      <w:r w:rsidRPr="002906BC">
        <w:rPr>
          <w:rFonts w:asciiTheme="majorBidi" w:hAnsiTheme="majorBidi" w:cstheme="majorBidi"/>
          <w:sz w:val="24"/>
          <w:szCs w:val="24"/>
          <w:lang w:bidi="ar-IQ"/>
        </w:rPr>
        <w:t>Balonan</w:t>
      </w:r>
      <w:proofErr w:type="spellEnd"/>
      <w:r w:rsidRPr="002906BC">
        <w:rPr>
          <w:rFonts w:asciiTheme="majorBidi" w:hAnsiTheme="majorBidi" w:cstheme="majorBidi"/>
          <w:sz w:val="24"/>
          <w:szCs w:val="24"/>
          <w:lang w:bidi="ar-IQ"/>
        </w:rPr>
        <w:t xml:space="preserve">, J. T., Martino, G., </w:t>
      </w:r>
      <w:proofErr w:type="spellStart"/>
      <w:r w:rsidRPr="002906BC">
        <w:rPr>
          <w:rFonts w:asciiTheme="majorBidi" w:hAnsiTheme="majorBidi" w:cstheme="majorBidi"/>
          <w:sz w:val="24"/>
          <w:szCs w:val="24"/>
          <w:lang w:bidi="ar-IQ"/>
        </w:rPr>
        <w:t>Nannini</w:t>
      </w:r>
      <w:proofErr w:type="spellEnd"/>
      <w:r w:rsidRPr="002906BC">
        <w:rPr>
          <w:rFonts w:asciiTheme="majorBidi" w:hAnsiTheme="majorBidi" w:cstheme="majorBidi"/>
          <w:sz w:val="24"/>
          <w:szCs w:val="24"/>
          <w:lang w:bidi="ar-IQ"/>
        </w:rPr>
        <w:t xml:space="preserve">, V., &amp; </w:t>
      </w:r>
      <w:proofErr w:type="spellStart"/>
      <w:r w:rsidRPr="002906BC">
        <w:rPr>
          <w:rFonts w:asciiTheme="majorBidi" w:hAnsiTheme="majorBidi" w:cstheme="majorBidi"/>
          <w:sz w:val="24"/>
          <w:szCs w:val="24"/>
          <w:lang w:bidi="ar-IQ"/>
        </w:rPr>
        <w:t>Langher</w:t>
      </w:r>
      <w:proofErr w:type="spellEnd"/>
      <w:r w:rsidRPr="002906BC">
        <w:rPr>
          <w:rFonts w:asciiTheme="majorBidi" w:hAnsiTheme="majorBidi" w:cstheme="majorBidi"/>
          <w:sz w:val="24"/>
          <w:szCs w:val="24"/>
          <w:lang w:bidi="ar-IQ"/>
        </w:rPr>
        <w:t>, V. (2018). Chronic illness as loss of good self: underlying mechanisms affecting diabetes adaptation. Mediterranean Journal of Clinical Psychology, 6(3).</w:t>
      </w:r>
    </w:p>
    <w:p w:rsidR="003142C4" w:rsidRPr="002906BC" w:rsidRDefault="00ED56F4" w:rsidP="00ED56F4">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Marshall, M., Carter, B., Rose, K., &amp; </w:t>
      </w:r>
      <w:proofErr w:type="spellStart"/>
      <w:r w:rsidRPr="002906BC">
        <w:rPr>
          <w:rFonts w:asciiTheme="majorBidi" w:hAnsiTheme="majorBidi" w:cstheme="majorBidi"/>
          <w:sz w:val="24"/>
          <w:szCs w:val="24"/>
          <w:lang w:bidi="ar-IQ"/>
        </w:rPr>
        <w:t>Brotherton</w:t>
      </w:r>
      <w:proofErr w:type="spellEnd"/>
      <w:r w:rsidRPr="002906BC">
        <w:rPr>
          <w:rFonts w:asciiTheme="majorBidi" w:hAnsiTheme="majorBidi" w:cstheme="majorBidi"/>
          <w:sz w:val="24"/>
          <w:szCs w:val="24"/>
          <w:lang w:bidi="ar-IQ"/>
        </w:rPr>
        <w:t>, A. (2009). Living with type 1 diabetes: perceptions of children and their parents. Journal of clinical nursing, 18(12), 1703-1710.</w:t>
      </w:r>
    </w:p>
    <w:p w:rsidR="00ED56F4" w:rsidRPr="002906BC" w:rsidRDefault="00ED56F4" w:rsidP="00ED56F4">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Mack, S. J., </w:t>
      </w:r>
      <w:proofErr w:type="spellStart"/>
      <w:r w:rsidRPr="002906BC">
        <w:rPr>
          <w:rFonts w:asciiTheme="majorBidi" w:hAnsiTheme="majorBidi" w:cstheme="majorBidi"/>
          <w:sz w:val="24"/>
          <w:szCs w:val="24"/>
          <w:lang w:bidi="ar-IQ"/>
        </w:rPr>
        <w:t>Tu</w:t>
      </w:r>
      <w:proofErr w:type="spellEnd"/>
      <w:r w:rsidRPr="002906BC">
        <w:rPr>
          <w:rFonts w:asciiTheme="majorBidi" w:hAnsiTheme="majorBidi" w:cstheme="majorBidi"/>
          <w:sz w:val="24"/>
          <w:szCs w:val="24"/>
          <w:lang w:bidi="ar-IQ"/>
        </w:rPr>
        <w:t>, B., Lazaro, A., Yang, R., Lancaster, A. K., Cao, K</w:t>
      </w:r>
      <w:proofErr w:type="gramStart"/>
      <w:r w:rsidRPr="002906BC">
        <w:rPr>
          <w:rFonts w:asciiTheme="majorBidi" w:hAnsiTheme="majorBidi" w:cstheme="majorBidi"/>
          <w:sz w:val="24"/>
          <w:szCs w:val="24"/>
          <w:lang w:bidi="ar-IQ"/>
        </w:rPr>
        <w:t>., ...</w:t>
      </w:r>
      <w:proofErr w:type="gramEnd"/>
      <w:r w:rsidRPr="002906BC">
        <w:rPr>
          <w:rFonts w:asciiTheme="majorBidi" w:hAnsiTheme="majorBidi" w:cstheme="majorBidi"/>
          <w:sz w:val="24"/>
          <w:szCs w:val="24"/>
          <w:lang w:bidi="ar-IQ"/>
        </w:rPr>
        <w:t xml:space="preserve"> &amp; Hurley, C. K. (2009). HLA</w:t>
      </w:r>
      <w:r w:rsidRPr="002906BC">
        <w:rPr>
          <w:rFonts w:ascii="Cambria Math" w:hAnsi="Cambria Math" w:cs="Cambria Math"/>
          <w:sz w:val="24"/>
          <w:szCs w:val="24"/>
          <w:lang w:bidi="ar-IQ"/>
        </w:rPr>
        <w:t>‐</w:t>
      </w:r>
      <w:r w:rsidRPr="002906BC">
        <w:rPr>
          <w:rFonts w:asciiTheme="majorBidi" w:hAnsiTheme="majorBidi" w:cstheme="majorBidi"/>
          <w:sz w:val="24"/>
          <w:szCs w:val="24"/>
          <w:lang w:bidi="ar-IQ"/>
        </w:rPr>
        <w:t>A</w:t>
      </w:r>
      <w:proofErr w:type="gramStart"/>
      <w:r w:rsidRPr="002906BC">
        <w:rPr>
          <w:rFonts w:asciiTheme="majorBidi" w:hAnsiTheme="majorBidi" w:cstheme="majorBidi"/>
          <w:sz w:val="24"/>
          <w:szCs w:val="24"/>
          <w:lang w:bidi="ar-IQ"/>
        </w:rPr>
        <w:t>,</w:t>
      </w:r>
      <w:r w:rsidRPr="002906BC">
        <w:rPr>
          <w:rFonts w:ascii="Cambria Math" w:hAnsi="Cambria Math" w:cs="Cambria Math"/>
          <w:sz w:val="24"/>
          <w:szCs w:val="24"/>
          <w:lang w:bidi="ar-IQ"/>
        </w:rPr>
        <w:t>‐</w:t>
      </w:r>
      <w:proofErr w:type="gramEnd"/>
      <w:r w:rsidRPr="002906BC">
        <w:rPr>
          <w:rFonts w:asciiTheme="majorBidi" w:hAnsiTheme="majorBidi" w:cstheme="majorBidi"/>
          <w:sz w:val="24"/>
          <w:szCs w:val="24"/>
          <w:lang w:bidi="ar-IQ"/>
        </w:rPr>
        <w:t>B,</w:t>
      </w:r>
      <w:r w:rsidRPr="002906BC">
        <w:rPr>
          <w:rFonts w:ascii="Cambria Math" w:hAnsi="Cambria Math" w:cs="Cambria Math"/>
          <w:sz w:val="24"/>
          <w:szCs w:val="24"/>
          <w:lang w:bidi="ar-IQ"/>
        </w:rPr>
        <w:t>‐</w:t>
      </w:r>
      <w:r w:rsidRPr="002906BC">
        <w:rPr>
          <w:rFonts w:asciiTheme="majorBidi" w:hAnsiTheme="majorBidi" w:cstheme="majorBidi"/>
          <w:sz w:val="24"/>
          <w:szCs w:val="24"/>
          <w:lang w:bidi="ar-IQ"/>
        </w:rPr>
        <w:t>C, and</w:t>
      </w:r>
      <w:r w:rsidRPr="002906BC">
        <w:rPr>
          <w:rFonts w:ascii="Cambria Math" w:hAnsi="Cambria Math" w:cs="Cambria Math"/>
          <w:sz w:val="24"/>
          <w:szCs w:val="24"/>
          <w:lang w:bidi="ar-IQ"/>
        </w:rPr>
        <w:t>‐</w:t>
      </w:r>
      <w:r w:rsidRPr="002906BC">
        <w:rPr>
          <w:rFonts w:asciiTheme="majorBidi" w:hAnsiTheme="majorBidi" w:cstheme="majorBidi"/>
          <w:sz w:val="24"/>
          <w:szCs w:val="24"/>
          <w:lang w:bidi="ar-IQ"/>
        </w:rPr>
        <w:t>DRB1 allele and haplotype frequencies distinguish Eastern European Americans from the general European American population. Tissue antigens, 73(1), 17-32.</w:t>
      </w:r>
    </w:p>
    <w:p w:rsidR="00611E05" w:rsidRPr="002906BC" w:rsidRDefault="00611E05" w:rsidP="00611E05">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Piñero-Piloña</w:t>
      </w:r>
      <w:proofErr w:type="spellEnd"/>
      <w:r w:rsidRPr="002906BC">
        <w:rPr>
          <w:rFonts w:asciiTheme="majorBidi" w:hAnsiTheme="majorBidi" w:cstheme="majorBidi"/>
          <w:sz w:val="24"/>
          <w:szCs w:val="24"/>
          <w:lang w:bidi="ar-IQ"/>
        </w:rPr>
        <w:t xml:space="preserve">, A., &amp; </w:t>
      </w:r>
      <w:proofErr w:type="spellStart"/>
      <w:r w:rsidRPr="002906BC">
        <w:rPr>
          <w:rFonts w:asciiTheme="majorBidi" w:hAnsiTheme="majorBidi" w:cstheme="majorBidi"/>
          <w:sz w:val="24"/>
          <w:szCs w:val="24"/>
          <w:lang w:bidi="ar-IQ"/>
        </w:rPr>
        <w:t>Raskin</w:t>
      </w:r>
      <w:proofErr w:type="spellEnd"/>
      <w:r w:rsidRPr="002906BC">
        <w:rPr>
          <w:rFonts w:asciiTheme="majorBidi" w:hAnsiTheme="majorBidi" w:cstheme="majorBidi"/>
          <w:sz w:val="24"/>
          <w:szCs w:val="24"/>
          <w:lang w:bidi="ar-IQ"/>
        </w:rPr>
        <w:t>, P. (2001). Idiopathic type 1 diabetes. Journal of Diabetes and its Complications, 15(6), 328-335.</w:t>
      </w:r>
    </w:p>
    <w:p w:rsidR="00611E05" w:rsidRPr="002906BC" w:rsidRDefault="00611E05" w:rsidP="00611E05">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Hirschhorn</w:t>
      </w:r>
      <w:proofErr w:type="spellEnd"/>
      <w:r w:rsidRPr="002906BC">
        <w:rPr>
          <w:rFonts w:asciiTheme="majorBidi" w:hAnsiTheme="majorBidi" w:cstheme="majorBidi"/>
          <w:sz w:val="24"/>
          <w:szCs w:val="24"/>
          <w:lang w:bidi="ar-IQ"/>
        </w:rPr>
        <w:t>, J. N. (2003). Genetic epidemiology of type 1 diabetes. Pediatric diabetes, 4(2), 87-100.</w:t>
      </w:r>
    </w:p>
    <w:p w:rsidR="00611E05" w:rsidRPr="002906BC" w:rsidRDefault="00611E05" w:rsidP="00611E05">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Pirot</w:t>
      </w:r>
      <w:proofErr w:type="spellEnd"/>
      <w:r w:rsidRPr="002906BC">
        <w:rPr>
          <w:rFonts w:asciiTheme="majorBidi" w:hAnsiTheme="majorBidi" w:cstheme="majorBidi"/>
          <w:sz w:val="24"/>
          <w:szCs w:val="24"/>
          <w:lang w:bidi="ar-IQ"/>
        </w:rPr>
        <w:t xml:space="preserve">, P., Cardozo, A. K., &amp; </w:t>
      </w:r>
      <w:proofErr w:type="spellStart"/>
      <w:r w:rsidRPr="002906BC">
        <w:rPr>
          <w:rFonts w:asciiTheme="majorBidi" w:hAnsiTheme="majorBidi" w:cstheme="majorBidi"/>
          <w:sz w:val="24"/>
          <w:szCs w:val="24"/>
          <w:lang w:bidi="ar-IQ"/>
        </w:rPr>
        <w:t>Eizirik</w:t>
      </w:r>
      <w:proofErr w:type="spellEnd"/>
      <w:r w:rsidRPr="002906BC">
        <w:rPr>
          <w:rFonts w:asciiTheme="majorBidi" w:hAnsiTheme="majorBidi" w:cstheme="majorBidi"/>
          <w:sz w:val="24"/>
          <w:szCs w:val="24"/>
          <w:lang w:bidi="ar-IQ"/>
        </w:rPr>
        <w:t xml:space="preserve">, D. L. (2008). Mediators and mechanisms of pancreatic beta-cell death in type 1 diabetes. </w:t>
      </w:r>
      <w:proofErr w:type="spellStart"/>
      <w:r w:rsidRPr="002906BC">
        <w:rPr>
          <w:rFonts w:asciiTheme="majorBidi" w:hAnsiTheme="majorBidi" w:cstheme="majorBidi"/>
          <w:sz w:val="24"/>
          <w:szCs w:val="24"/>
          <w:lang w:bidi="ar-IQ"/>
        </w:rPr>
        <w:t>Arquivos</w:t>
      </w:r>
      <w:proofErr w:type="spellEnd"/>
      <w:r w:rsidRPr="002906BC">
        <w:rPr>
          <w:rFonts w:asciiTheme="majorBidi" w:hAnsiTheme="majorBidi" w:cstheme="majorBidi"/>
          <w:sz w:val="24"/>
          <w:szCs w:val="24"/>
          <w:lang w:bidi="ar-IQ"/>
        </w:rPr>
        <w:t xml:space="preserve"> </w:t>
      </w:r>
      <w:proofErr w:type="spellStart"/>
      <w:r w:rsidRPr="002906BC">
        <w:rPr>
          <w:rFonts w:asciiTheme="majorBidi" w:hAnsiTheme="majorBidi" w:cstheme="majorBidi"/>
          <w:sz w:val="24"/>
          <w:szCs w:val="24"/>
          <w:lang w:bidi="ar-IQ"/>
        </w:rPr>
        <w:t>Brasileiros</w:t>
      </w:r>
      <w:proofErr w:type="spellEnd"/>
      <w:r w:rsidRPr="002906BC">
        <w:rPr>
          <w:rFonts w:asciiTheme="majorBidi" w:hAnsiTheme="majorBidi" w:cstheme="majorBidi"/>
          <w:sz w:val="24"/>
          <w:szCs w:val="24"/>
          <w:lang w:bidi="ar-IQ"/>
        </w:rPr>
        <w:t xml:space="preserve"> de </w:t>
      </w:r>
      <w:proofErr w:type="spellStart"/>
      <w:r w:rsidRPr="002906BC">
        <w:rPr>
          <w:rFonts w:asciiTheme="majorBidi" w:hAnsiTheme="majorBidi" w:cstheme="majorBidi"/>
          <w:sz w:val="24"/>
          <w:szCs w:val="24"/>
          <w:lang w:bidi="ar-IQ"/>
        </w:rPr>
        <w:t>Endocrinologia</w:t>
      </w:r>
      <w:proofErr w:type="spellEnd"/>
      <w:r w:rsidRPr="002906BC">
        <w:rPr>
          <w:rFonts w:asciiTheme="majorBidi" w:hAnsiTheme="majorBidi" w:cstheme="majorBidi"/>
          <w:sz w:val="24"/>
          <w:szCs w:val="24"/>
          <w:lang w:bidi="ar-IQ"/>
        </w:rPr>
        <w:t xml:space="preserve"> &amp; </w:t>
      </w:r>
      <w:proofErr w:type="spellStart"/>
      <w:r w:rsidRPr="002906BC">
        <w:rPr>
          <w:rFonts w:asciiTheme="majorBidi" w:hAnsiTheme="majorBidi" w:cstheme="majorBidi"/>
          <w:sz w:val="24"/>
          <w:szCs w:val="24"/>
          <w:lang w:bidi="ar-IQ"/>
        </w:rPr>
        <w:t>Metabologia</w:t>
      </w:r>
      <w:proofErr w:type="spellEnd"/>
      <w:r w:rsidRPr="002906BC">
        <w:rPr>
          <w:rFonts w:asciiTheme="majorBidi" w:hAnsiTheme="majorBidi" w:cstheme="majorBidi"/>
          <w:sz w:val="24"/>
          <w:szCs w:val="24"/>
          <w:lang w:bidi="ar-IQ"/>
        </w:rPr>
        <w:t>, 52(2), 156-165.</w:t>
      </w:r>
    </w:p>
    <w:p w:rsidR="00E15CB8" w:rsidRPr="002906BC" w:rsidRDefault="00E15CB8" w:rsidP="00E15CB8">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Patterson, C. C., </w:t>
      </w:r>
      <w:proofErr w:type="spellStart"/>
      <w:r w:rsidRPr="002906BC">
        <w:rPr>
          <w:rFonts w:asciiTheme="majorBidi" w:hAnsiTheme="majorBidi" w:cstheme="majorBidi"/>
          <w:sz w:val="24"/>
          <w:szCs w:val="24"/>
          <w:lang w:bidi="ar-IQ"/>
        </w:rPr>
        <w:t>Karuranga</w:t>
      </w:r>
      <w:proofErr w:type="spellEnd"/>
      <w:r w:rsidRPr="002906BC">
        <w:rPr>
          <w:rFonts w:asciiTheme="majorBidi" w:hAnsiTheme="majorBidi" w:cstheme="majorBidi"/>
          <w:sz w:val="24"/>
          <w:szCs w:val="24"/>
          <w:lang w:bidi="ar-IQ"/>
        </w:rPr>
        <w:t xml:space="preserve">, S., </w:t>
      </w:r>
      <w:proofErr w:type="spellStart"/>
      <w:r w:rsidRPr="002906BC">
        <w:rPr>
          <w:rFonts w:asciiTheme="majorBidi" w:hAnsiTheme="majorBidi" w:cstheme="majorBidi"/>
          <w:sz w:val="24"/>
          <w:szCs w:val="24"/>
          <w:lang w:bidi="ar-IQ"/>
        </w:rPr>
        <w:t>Salpea</w:t>
      </w:r>
      <w:proofErr w:type="spellEnd"/>
      <w:r w:rsidRPr="002906BC">
        <w:rPr>
          <w:rFonts w:asciiTheme="majorBidi" w:hAnsiTheme="majorBidi" w:cstheme="majorBidi"/>
          <w:sz w:val="24"/>
          <w:szCs w:val="24"/>
          <w:lang w:bidi="ar-IQ"/>
        </w:rPr>
        <w:t xml:space="preserve">, P., </w:t>
      </w:r>
      <w:proofErr w:type="spellStart"/>
      <w:r w:rsidRPr="002906BC">
        <w:rPr>
          <w:rFonts w:asciiTheme="majorBidi" w:hAnsiTheme="majorBidi" w:cstheme="majorBidi"/>
          <w:sz w:val="24"/>
          <w:szCs w:val="24"/>
          <w:lang w:bidi="ar-IQ"/>
        </w:rPr>
        <w:t>Saeedi</w:t>
      </w:r>
      <w:proofErr w:type="spellEnd"/>
      <w:r w:rsidRPr="002906BC">
        <w:rPr>
          <w:rFonts w:asciiTheme="majorBidi" w:hAnsiTheme="majorBidi" w:cstheme="majorBidi"/>
          <w:sz w:val="24"/>
          <w:szCs w:val="24"/>
          <w:lang w:bidi="ar-IQ"/>
        </w:rPr>
        <w:t xml:space="preserve">, P., </w:t>
      </w:r>
      <w:proofErr w:type="spellStart"/>
      <w:r w:rsidRPr="002906BC">
        <w:rPr>
          <w:rFonts w:asciiTheme="majorBidi" w:hAnsiTheme="majorBidi" w:cstheme="majorBidi"/>
          <w:sz w:val="24"/>
          <w:szCs w:val="24"/>
          <w:lang w:bidi="ar-IQ"/>
        </w:rPr>
        <w:t>Dahlquist</w:t>
      </w:r>
      <w:proofErr w:type="spellEnd"/>
      <w:r w:rsidRPr="002906BC">
        <w:rPr>
          <w:rFonts w:asciiTheme="majorBidi" w:hAnsiTheme="majorBidi" w:cstheme="majorBidi"/>
          <w:sz w:val="24"/>
          <w:szCs w:val="24"/>
          <w:lang w:bidi="ar-IQ"/>
        </w:rPr>
        <w:t xml:space="preserve">, G., </w:t>
      </w:r>
      <w:proofErr w:type="spellStart"/>
      <w:r w:rsidRPr="002906BC">
        <w:rPr>
          <w:rFonts w:asciiTheme="majorBidi" w:hAnsiTheme="majorBidi" w:cstheme="majorBidi"/>
          <w:sz w:val="24"/>
          <w:szCs w:val="24"/>
          <w:lang w:bidi="ar-IQ"/>
        </w:rPr>
        <w:t>Soltesz</w:t>
      </w:r>
      <w:proofErr w:type="spellEnd"/>
      <w:r w:rsidRPr="002906BC">
        <w:rPr>
          <w:rFonts w:asciiTheme="majorBidi" w:hAnsiTheme="majorBidi" w:cstheme="majorBidi"/>
          <w:sz w:val="24"/>
          <w:szCs w:val="24"/>
          <w:lang w:bidi="ar-IQ"/>
        </w:rPr>
        <w:t xml:space="preserve">, G., &amp; Ogle, G. D. (2019). Worldwide estimates of incidence, prevalence and mortality of </w:t>
      </w:r>
      <w:r w:rsidRPr="002906BC">
        <w:rPr>
          <w:rFonts w:asciiTheme="majorBidi" w:hAnsiTheme="majorBidi" w:cstheme="majorBidi"/>
          <w:sz w:val="24"/>
          <w:szCs w:val="24"/>
          <w:lang w:bidi="ar-IQ"/>
        </w:rPr>
        <w:lastRenderedPageBreak/>
        <w:t>type 1 diabetes in children and adolescents: Results from the International Diabetes Federation Diabetes Atlas. Diabetes research and clinical practice, 157, 107842.</w:t>
      </w:r>
    </w:p>
    <w:p w:rsidR="00611E05" w:rsidRPr="002906BC" w:rsidRDefault="00611E05" w:rsidP="00611E05">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Ghazanfari</w:t>
      </w:r>
      <w:proofErr w:type="spellEnd"/>
      <w:r w:rsidRPr="002906BC">
        <w:rPr>
          <w:rFonts w:asciiTheme="majorBidi" w:hAnsiTheme="majorBidi" w:cstheme="majorBidi"/>
          <w:sz w:val="24"/>
          <w:szCs w:val="24"/>
          <w:lang w:bidi="ar-IQ"/>
        </w:rPr>
        <w:t xml:space="preserve">, Z., </w:t>
      </w:r>
      <w:proofErr w:type="spellStart"/>
      <w:r w:rsidRPr="002906BC">
        <w:rPr>
          <w:rFonts w:asciiTheme="majorBidi" w:hAnsiTheme="majorBidi" w:cstheme="majorBidi"/>
          <w:sz w:val="24"/>
          <w:szCs w:val="24"/>
          <w:lang w:bidi="ar-IQ"/>
        </w:rPr>
        <w:t>Haghdoost</w:t>
      </w:r>
      <w:proofErr w:type="spellEnd"/>
      <w:r w:rsidRPr="002906BC">
        <w:rPr>
          <w:rFonts w:asciiTheme="majorBidi" w:hAnsiTheme="majorBidi" w:cstheme="majorBidi"/>
          <w:sz w:val="24"/>
          <w:szCs w:val="24"/>
          <w:lang w:bidi="ar-IQ"/>
        </w:rPr>
        <w:t xml:space="preserve">, A. A., </w:t>
      </w:r>
      <w:proofErr w:type="spellStart"/>
      <w:r w:rsidRPr="002906BC">
        <w:rPr>
          <w:rFonts w:asciiTheme="majorBidi" w:hAnsiTheme="majorBidi" w:cstheme="majorBidi"/>
          <w:sz w:val="24"/>
          <w:szCs w:val="24"/>
          <w:lang w:bidi="ar-IQ"/>
        </w:rPr>
        <w:t>Alizadeh</w:t>
      </w:r>
      <w:proofErr w:type="spellEnd"/>
      <w:r w:rsidRPr="002906BC">
        <w:rPr>
          <w:rFonts w:asciiTheme="majorBidi" w:hAnsiTheme="majorBidi" w:cstheme="majorBidi"/>
          <w:sz w:val="24"/>
          <w:szCs w:val="24"/>
          <w:lang w:bidi="ar-IQ"/>
        </w:rPr>
        <w:t xml:space="preserve">, S. M., </w:t>
      </w:r>
      <w:proofErr w:type="spellStart"/>
      <w:r w:rsidRPr="002906BC">
        <w:rPr>
          <w:rFonts w:asciiTheme="majorBidi" w:hAnsiTheme="majorBidi" w:cstheme="majorBidi"/>
          <w:sz w:val="24"/>
          <w:szCs w:val="24"/>
          <w:lang w:bidi="ar-IQ"/>
        </w:rPr>
        <w:t>Atapour</w:t>
      </w:r>
      <w:proofErr w:type="spellEnd"/>
      <w:r w:rsidRPr="002906BC">
        <w:rPr>
          <w:rFonts w:asciiTheme="majorBidi" w:hAnsiTheme="majorBidi" w:cstheme="majorBidi"/>
          <w:sz w:val="24"/>
          <w:szCs w:val="24"/>
          <w:lang w:bidi="ar-IQ"/>
        </w:rPr>
        <w:t xml:space="preserve">, J., &amp; </w:t>
      </w:r>
      <w:proofErr w:type="spellStart"/>
      <w:r w:rsidRPr="002906BC">
        <w:rPr>
          <w:rFonts w:asciiTheme="majorBidi" w:hAnsiTheme="majorBidi" w:cstheme="majorBidi"/>
          <w:sz w:val="24"/>
          <w:szCs w:val="24"/>
          <w:lang w:bidi="ar-IQ"/>
        </w:rPr>
        <w:t>Zolala</w:t>
      </w:r>
      <w:proofErr w:type="spellEnd"/>
      <w:r w:rsidRPr="002906BC">
        <w:rPr>
          <w:rFonts w:asciiTheme="majorBidi" w:hAnsiTheme="majorBidi" w:cstheme="majorBidi"/>
          <w:sz w:val="24"/>
          <w:szCs w:val="24"/>
          <w:lang w:bidi="ar-IQ"/>
        </w:rPr>
        <w:t>, F. (2010). A comparison of HbA1c and fasting blood sugar tests in general population. International journal of preventive medicine, 1(3), 187.</w:t>
      </w:r>
    </w:p>
    <w:p w:rsidR="00611E05" w:rsidRPr="002906BC" w:rsidRDefault="005F55DD" w:rsidP="005F55DD">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Ziegler, A. G., </w:t>
      </w:r>
      <w:proofErr w:type="spellStart"/>
      <w:r w:rsidRPr="002906BC">
        <w:rPr>
          <w:rFonts w:asciiTheme="majorBidi" w:hAnsiTheme="majorBidi" w:cstheme="majorBidi"/>
          <w:sz w:val="24"/>
          <w:szCs w:val="24"/>
          <w:lang w:bidi="ar-IQ"/>
        </w:rPr>
        <w:t>Rewers</w:t>
      </w:r>
      <w:proofErr w:type="spellEnd"/>
      <w:r w:rsidRPr="002906BC">
        <w:rPr>
          <w:rFonts w:asciiTheme="majorBidi" w:hAnsiTheme="majorBidi" w:cstheme="majorBidi"/>
          <w:sz w:val="24"/>
          <w:szCs w:val="24"/>
          <w:lang w:bidi="ar-IQ"/>
        </w:rPr>
        <w:t xml:space="preserve">, M., </w:t>
      </w:r>
      <w:proofErr w:type="spellStart"/>
      <w:r w:rsidRPr="002906BC">
        <w:rPr>
          <w:rFonts w:asciiTheme="majorBidi" w:hAnsiTheme="majorBidi" w:cstheme="majorBidi"/>
          <w:sz w:val="24"/>
          <w:szCs w:val="24"/>
          <w:lang w:bidi="ar-IQ"/>
        </w:rPr>
        <w:t>Simell</w:t>
      </w:r>
      <w:proofErr w:type="spellEnd"/>
      <w:r w:rsidRPr="002906BC">
        <w:rPr>
          <w:rFonts w:asciiTheme="majorBidi" w:hAnsiTheme="majorBidi" w:cstheme="majorBidi"/>
          <w:sz w:val="24"/>
          <w:szCs w:val="24"/>
          <w:lang w:bidi="ar-IQ"/>
        </w:rPr>
        <w:t xml:space="preserve">, O., </w:t>
      </w:r>
      <w:proofErr w:type="spellStart"/>
      <w:r w:rsidRPr="002906BC">
        <w:rPr>
          <w:rFonts w:asciiTheme="majorBidi" w:hAnsiTheme="majorBidi" w:cstheme="majorBidi"/>
          <w:sz w:val="24"/>
          <w:szCs w:val="24"/>
          <w:lang w:bidi="ar-IQ"/>
        </w:rPr>
        <w:t>Simell</w:t>
      </w:r>
      <w:proofErr w:type="spellEnd"/>
      <w:r w:rsidRPr="002906BC">
        <w:rPr>
          <w:rFonts w:asciiTheme="majorBidi" w:hAnsiTheme="majorBidi" w:cstheme="majorBidi"/>
          <w:sz w:val="24"/>
          <w:szCs w:val="24"/>
          <w:lang w:bidi="ar-IQ"/>
        </w:rPr>
        <w:t xml:space="preserve">, T., </w:t>
      </w:r>
      <w:proofErr w:type="spellStart"/>
      <w:r w:rsidRPr="002906BC">
        <w:rPr>
          <w:rFonts w:asciiTheme="majorBidi" w:hAnsiTheme="majorBidi" w:cstheme="majorBidi"/>
          <w:sz w:val="24"/>
          <w:szCs w:val="24"/>
          <w:lang w:bidi="ar-IQ"/>
        </w:rPr>
        <w:t>Lempainen</w:t>
      </w:r>
      <w:proofErr w:type="spellEnd"/>
      <w:r w:rsidRPr="002906BC">
        <w:rPr>
          <w:rFonts w:asciiTheme="majorBidi" w:hAnsiTheme="majorBidi" w:cstheme="majorBidi"/>
          <w:sz w:val="24"/>
          <w:szCs w:val="24"/>
          <w:lang w:bidi="ar-IQ"/>
        </w:rPr>
        <w:t xml:space="preserve">, J., </w:t>
      </w:r>
      <w:proofErr w:type="spellStart"/>
      <w:r w:rsidRPr="002906BC">
        <w:rPr>
          <w:rFonts w:asciiTheme="majorBidi" w:hAnsiTheme="majorBidi" w:cstheme="majorBidi"/>
          <w:sz w:val="24"/>
          <w:szCs w:val="24"/>
          <w:lang w:bidi="ar-IQ"/>
        </w:rPr>
        <w:t>Steck</w:t>
      </w:r>
      <w:proofErr w:type="spellEnd"/>
      <w:r w:rsidRPr="002906BC">
        <w:rPr>
          <w:rFonts w:asciiTheme="majorBidi" w:hAnsiTheme="majorBidi" w:cstheme="majorBidi"/>
          <w:sz w:val="24"/>
          <w:szCs w:val="24"/>
          <w:lang w:bidi="ar-IQ"/>
        </w:rPr>
        <w:t>, A</w:t>
      </w:r>
      <w:proofErr w:type="gramStart"/>
      <w:r w:rsidRPr="002906BC">
        <w:rPr>
          <w:rFonts w:asciiTheme="majorBidi" w:hAnsiTheme="majorBidi" w:cstheme="majorBidi"/>
          <w:sz w:val="24"/>
          <w:szCs w:val="24"/>
          <w:lang w:bidi="ar-IQ"/>
        </w:rPr>
        <w:t>., ...</w:t>
      </w:r>
      <w:proofErr w:type="gramEnd"/>
      <w:r w:rsidRPr="002906BC">
        <w:rPr>
          <w:rFonts w:asciiTheme="majorBidi" w:hAnsiTheme="majorBidi" w:cstheme="majorBidi"/>
          <w:sz w:val="24"/>
          <w:szCs w:val="24"/>
          <w:lang w:bidi="ar-IQ"/>
        </w:rPr>
        <w:t xml:space="preserve"> &amp; </w:t>
      </w:r>
      <w:proofErr w:type="spellStart"/>
      <w:r w:rsidRPr="002906BC">
        <w:rPr>
          <w:rFonts w:asciiTheme="majorBidi" w:hAnsiTheme="majorBidi" w:cstheme="majorBidi"/>
          <w:sz w:val="24"/>
          <w:szCs w:val="24"/>
          <w:lang w:bidi="ar-IQ"/>
        </w:rPr>
        <w:t>Eisenbarth</w:t>
      </w:r>
      <w:proofErr w:type="spellEnd"/>
      <w:r w:rsidRPr="002906BC">
        <w:rPr>
          <w:rFonts w:asciiTheme="majorBidi" w:hAnsiTheme="majorBidi" w:cstheme="majorBidi"/>
          <w:sz w:val="24"/>
          <w:szCs w:val="24"/>
          <w:lang w:bidi="ar-IQ"/>
        </w:rPr>
        <w:t xml:space="preserve">, G. S. (2013). </w:t>
      </w:r>
      <w:proofErr w:type="spellStart"/>
      <w:r w:rsidRPr="002906BC">
        <w:rPr>
          <w:rFonts w:asciiTheme="majorBidi" w:hAnsiTheme="majorBidi" w:cstheme="majorBidi"/>
          <w:sz w:val="24"/>
          <w:szCs w:val="24"/>
          <w:lang w:bidi="ar-IQ"/>
        </w:rPr>
        <w:t>Seroconversion</w:t>
      </w:r>
      <w:proofErr w:type="spellEnd"/>
      <w:r w:rsidRPr="002906BC">
        <w:rPr>
          <w:rFonts w:asciiTheme="majorBidi" w:hAnsiTheme="majorBidi" w:cstheme="majorBidi"/>
          <w:sz w:val="24"/>
          <w:szCs w:val="24"/>
          <w:lang w:bidi="ar-IQ"/>
        </w:rPr>
        <w:t xml:space="preserve"> to multiple islet autoantibodies and risk of progression to diabetes in children. </w:t>
      </w:r>
      <w:proofErr w:type="spellStart"/>
      <w:r w:rsidRPr="002906BC">
        <w:rPr>
          <w:rFonts w:asciiTheme="majorBidi" w:hAnsiTheme="majorBidi" w:cstheme="majorBidi"/>
          <w:sz w:val="24"/>
          <w:szCs w:val="24"/>
          <w:lang w:bidi="ar-IQ"/>
        </w:rPr>
        <w:t>Jama</w:t>
      </w:r>
      <w:proofErr w:type="spellEnd"/>
      <w:r w:rsidRPr="002906BC">
        <w:rPr>
          <w:rFonts w:asciiTheme="majorBidi" w:hAnsiTheme="majorBidi" w:cstheme="majorBidi"/>
          <w:sz w:val="24"/>
          <w:szCs w:val="24"/>
          <w:lang w:bidi="ar-IQ"/>
        </w:rPr>
        <w:t>, 309(23), 2473-2479.</w:t>
      </w:r>
    </w:p>
    <w:p w:rsidR="005F55DD" w:rsidRPr="002906BC" w:rsidRDefault="005F55DD" w:rsidP="005F55DD">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Palmer, J. P., </w:t>
      </w:r>
      <w:proofErr w:type="spellStart"/>
      <w:r w:rsidRPr="002906BC">
        <w:rPr>
          <w:rFonts w:asciiTheme="majorBidi" w:hAnsiTheme="majorBidi" w:cstheme="majorBidi"/>
          <w:sz w:val="24"/>
          <w:szCs w:val="24"/>
          <w:lang w:bidi="ar-IQ"/>
        </w:rPr>
        <w:t>Hampe</w:t>
      </w:r>
      <w:proofErr w:type="spellEnd"/>
      <w:r w:rsidRPr="002906BC">
        <w:rPr>
          <w:rFonts w:asciiTheme="majorBidi" w:hAnsiTheme="majorBidi" w:cstheme="majorBidi"/>
          <w:sz w:val="24"/>
          <w:szCs w:val="24"/>
          <w:lang w:bidi="ar-IQ"/>
        </w:rPr>
        <w:t xml:space="preserve">, C. S., Chiu, H., </w:t>
      </w:r>
      <w:proofErr w:type="spellStart"/>
      <w:r w:rsidRPr="002906BC">
        <w:rPr>
          <w:rFonts w:asciiTheme="majorBidi" w:hAnsiTheme="majorBidi" w:cstheme="majorBidi"/>
          <w:sz w:val="24"/>
          <w:szCs w:val="24"/>
          <w:lang w:bidi="ar-IQ"/>
        </w:rPr>
        <w:t>Goel</w:t>
      </w:r>
      <w:proofErr w:type="spellEnd"/>
      <w:r w:rsidRPr="002906BC">
        <w:rPr>
          <w:rFonts w:asciiTheme="majorBidi" w:hAnsiTheme="majorBidi" w:cstheme="majorBidi"/>
          <w:sz w:val="24"/>
          <w:szCs w:val="24"/>
          <w:lang w:bidi="ar-IQ"/>
        </w:rPr>
        <w:t>, A., &amp; Brooks-Worrell, B. M. (2005). Is latent autoimmune diabetes in adults distinct from type 1 diabetes or just type 1 diabetes at an older age</w:t>
      </w:r>
      <w:proofErr w:type="gramStart"/>
      <w:r w:rsidRPr="002906BC">
        <w:rPr>
          <w:rFonts w:asciiTheme="majorBidi" w:hAnsiTheme="majorBidi" w:cstheme="majorBidi"/>
          <w:sz w:val="24"/>
          <w:szCs w:val="24"/>
          <w:lang w:bidi="ar-IQ"/>
        </w:rPr>
        <w:t>?.</w:t>
      </w:r>
      <w:proofErr w:type="gramEnd"/>
      <w:r w:rsidRPr="002906BC">
        <w:rPr>
          <w:rFonts w:asciiTheme="majorBidi" w:hAnsiTheme="majorBidi" w:cstheme="majorBidi"/>
          <w:sz w:val="24"/>
          <w:szCs w:val="24"/>
          <w:lang w:bidi="ar-IQ"/>
        </w:rPr>
        <w:t xml:space="preserve"> Diabetes, 54(</w:t>
      </w:r>
      <w:proofErr w:type="spellStart"/>
      <w:r w:rsidRPr="002906BC">
        <w:rPr>
          <w:rFonts w:asciiTheme="majorBidi" w:hAnsiTheme="majorBidi" w:cstheme="majorBidi"/>
          <w:sz w:val="24"/>
          <w:szCs w:val="24"/>
          <w:lang w:bidi="ar-IQ"/>
        </w:rPr>
        <w:t>suppl</w:t>
      </w:r>
      <w:proofErr w:type="spellEnd"/>
      <w:r w:rsidRPr="002906BC">
        <w:rPr>
          <w:rFonts w:asciiTheme="majorBidi" w:hAnsiTheme="majorBidi" w:cstheme="majorBidi"/>
          <w:sz w:val="24"/>
          <w:szCs w:val="24"/>
          <w:lang w:bidi="ar-IQ"/>
        </w:rPr>
        <w:t xml:space="preserve"> 2), S62-S67.</w:t>
      </w:r>
    </w:p>
    <w:p w:rsidR="00E770AB" w:rsidRPr="002906BC" w:rsidRDefault="00E770AB" w:rsidP="00E770AB">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Cho, N., Shaw, J. E., </w:t>
      </w:r>
      <w:proofErr w:type="spellStart"/>
      <w:r w:rsidRPr="002906BC">
        <w:rPr>
          <w:rFonts w:asciiTheme="majorBidi" w:hAnsiTheme="majorBidi" w:cstheme="majorBidi"/>
          <w:sz w:val="24"/>
          <w:szCs w:val="24"/>
          <w:lang w:bidi="ar-IQ"/>
        </w:rPr>
        <w:t>Karuranga</w:t>
      </w:r>
      <w:proofErr w:type="spellEnd"/>
      <w:r w:rsidRPr="002906BC">
        <w:rPr>
          <w:rFonts w:asciiTheme="majorBidi" w:hAnsiTheme="majorBidi" w:cstheme="majorBidi"/>
          <w:sz w:val="24"/>
          <w:szCs w:val="24"/>
          <w:lang w:bidi="ar-IQ"/>
        </w:rPr>
        <w:t xml:space="preserve">, S., Huang, Y. D., da Rocha </w:t>
      </w:r>
      <w:proofErr w:type="spellStart"/>
      <w:r w:rsidRPr="002906BC">
        <w:rPr>
          <w:rFonts w:asciiTheme="majorBidi" w:hAnsiTheme="majorBidi" w:cstheme="majorBidi"/>
          <w:sz w:val="24"/>
          <w:szCs w:val="24"/>
          <w:lang w:bidi="ar-IQ"/>
        </w:rPr>
        <w:t>Fernandes</w:t>
      </w:r>
      <w:proofErr w:type="spellEnd"/>
      <w:r w:rsidRPr="002906BC">
        <w:rPr>
          <w:rFonts w:asciiTheme="majorBidi" w:hAnsiTheme="majorBidi" w:cstheme="majorBidi"/>
          <w:sz w:val="24"/>
          <w:szCs w:val="24"/>
          <w:lang w:bidi="ar-IQ"/>
        </w:rPr>
        <w:t xml:space="preserve">, J. D., </w:t>
      </w:r>
      <w:proofErr w:type="spellStart"/>
      <w:r w:rsidRPr="002906BC">
        <w:rPr>
          <w:rFonts w:asciiTheme="majorBidi" w:hAnsiTheme="majorBidi" w:cstheme="majorBidi"/>
          <w:sz w:val="24"/>
          <w:szCs w:val="24"/>
          <w:lang w:bidi="ar-IQ"/>
        </w:rPr>
        <w:t>Ohlrogge</w:t>
      </w:r>
      <w:proofErr w:type="spellEnd"/>
      <w:r w:rsidRPr="002906BC">
        <w:rPr>
          <w:rFonts w:asciiTheme="majorBidi" w:hAnsiTheme="majorBidi" w:cstheme="majorBidi"/>
          <w:sz w:val="24"/>
          <w:szCs w:val="24"/>
          <w:lang w:bidi="ar-IQ"/>
        </w:rPr>
        <w:t xml:space="preserve">, A. W., &amp; </w:t>
      </w:r>
      <w:proofErr w:type="spellStart"/>
      <w:r w:rsidRPr="002906BC">
        <w:rPr>
          <w:rFonts w:asciiTheme="majorBidi" w:hAnsiTheme="majorBidi" w:cstheme="majorBidi"/>
          <w:sz w:val="24"/>
          <w:szCs w:val="24"/>
          <w:lang w:bidi="ar-IQ"/>
        </w:rPr>
        <w:t>Malanda</w:t>
      </w:r>
      <w:proofErr w:type="spellEnd"/>
      <w:r w:rsidRPr="002906BC">
        <w:rPr>
          <w:rFonts w:asciiTheme="majorBidi" w:hAnsiTheme="majorBidi" w:cstheme="majorBidi"/>
          <w:sz w:val="24"/>
          <w:szCs w:val="24"/>
          <w:lang w:bidi="ar-IQ"/>
        </w:rPr>
        <w:t>, B. (2018). IDF Diabetes Atlas: Global estimates of diabetes prevalence for 2017 and projections for 2045. Diabetes research and clinical practice, 138, 271-281.</w:t>
      </w:r>
    </w:p>
    <w:p w:rsidR="008732D3" w:rsidRPr="002906BC" w:rsidRDefault="008732D3" w:rsidP="008732D3">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Pociot</w:t>
      </w:r>
      <w:proofErr w:type="spellEnd"/>
      <w:r w:rsidRPr="002906BC">
        <w:rPr>
          <w:rFonts w:asciiTheme="majorBidi" w:hAnsiTheme="majorBidi" w:cstheme="majorBidi"/>
          <w:sz w:val="24"/>
          <w:szCs w:val="24"/>
          <w:lang w:bidi="ar-IQ"/>
        </w:rPr>
        <w:t>, F., &amp; McDermott, M. F. (2002). Genetics of type 1 diabetes mellitus. Genes &amp; Immunity, 3(5), 235-249.</w:t>
      </w:r>
    </w:p>
    <w:p w:rsidR="003C4E6A" w:rsidRPr="002906BC" w:rsidRDefault="003C4E6A" w:rsidP="003C4E6A">
      <w:pPr>
        <w:bidi w:val="0"/>
        <w:jc w:val="both"/>
        <w:rPr>
          <w:rFonts w:asciiTheme="majorBidi" w:hAnsiTheme="majorBidi" w:cstheme="majorBidi"/>
          <w:sz w:val="24"/>
          <w:szCs w:val="24"/>
          <w:lang w:bidi="ar-IQ"/>
        </w:rPr>
      </w:pPr>
      <w:r w:rsidRPr="002906BC">
        <w:rPr>
          <w:rFonts w:asciiTheme="majorBidi" w:hAnsiTheme="majorBidi" w:cstheme="majorBidi"/>
          <w:sz w:val="24"/>
          <w:szCs w:val="24"/>
          <w:lang w:bidi="ar-IQ"/>
        </w:rPr>
        <w:t xml:space="preserve">Kristiansen, O. P., Larsen, Z. M., &amp; </w:t>
      </w:r>
      <w:proofErr w:type="spellStart"/>
      <w:r w:rsidRPr="002906BC">
        <w:rPr>
          <w:rFonts w:asciiTheme="majorBidi" w:hAnsiTheme="majorBidi" w:cstheme="majorBidi"/>
          <w:sz w:val="24"/>
          <w:szCs w:val="24"/>
          <w:lang w:bidi="ar-IQ"/>
        </w:rPr>
        <w:t>Pociot</w:t>
      </w:r>
      <w:proofErr w:type="spellEnd"/>
      <w:r w:rsidRPr="002906BC">
        <w:rPr>
          <w:rFonts w:asciiTheme="majorBidi" w:hAnsiTheme="majorBidi" w:cstheme="majorBidi"/>
          <w:sz w:val="24"/>
          <w:szCs w:val="24"/>
          <w:lang w:bidi="ar-IQ"/>
        </w:rPr>
        <w:t>, F. (2000). CTLA-4 in autoimmune diseases–a general susceptibility gene to autoimmunity</w:t>
      </w:r>
      <w:proofErr w:type="gramStart"/>
      <w:r w:rsidRPr="002906BC">
        <w:rPr>
          <w:rFonts w:asciiTheme="majorBidi" w:hAnsiTheme="majorBidi" w:cstheme="majorBidi"/>
          <w:sz w:val="24"/>
          <w:szCs w:val="24"/>
          <w:lang w:bidi="ar-IQ"/>
        </w:rPr>
        <w:t>?.</w:t>
      </w:r>
      <w:proofErr w:type="gramEnd"/>
      <w:r w:rsidRPr="002906BC">
        <w:rPr>
          <w:rFonts w:asciiTheme="majorBidi" w:hAnsiTheme="majorBidi" w:cstheme="majorBidi"/>
          <w:sz w:val="24"/>
          <w:szCs w:val="24"/>
          <w:lang w:bidi="ar-IQ"/>
        </w:rPr>
        <w:t xml:space="preserve"> Genes &amp; Immunity, 1(3), 170-184.</w:t>
      </w:r>
    </w:p>
    <w:p w:rsidR="00716DE7" w:rsidRPr="002906BC" w:rsidRDefault="00716DE7" w:rsidP="00716DE7">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Chatzigeorgiou</w:t>
      </w:r>
      <w:proofErr w:type="spellEnd"/>
      <w:r w:rsidRPr="002906BC">
        <w:rPr>
          <w:rFonts w:asciiTheme="majorBidi" w:hAnsiTheme="majorBidi" w:cstheme="majorBidi"/>
          <w:sz w:val="24"/>
          <w:szCs w:val="24"/>
          <w:lang w:bidi="ar-IQ"/>
        </w:rPr>
        <w:t xml:space="preserve">, A., </w:t>
      </w:r>
      <w:proofErr w:type="spellStart"/>
      <w:r w:rsidRPr="002906BC">
        <w:rPr>
          <w:rFonts w:asciiTheme="majorBidi" w:hAnsiTheme="majorBidi" w:cstheme="majorBidi"/>
          <w:sz w:val="24"/>
          <w:szCs w:val="24"/>
          <w:lang w:bidi="ar-IQ"/>
        </w:rPr>
        <w:t>Harokopos</w:t>
      </w:r>
      <w:proofErr w:type="spellEnd"/>
      <w:r w:rsidRPr="002906BC">
        <w:rPr>
          <w:rFonts w:asciiTheme="majorBidi" w:hAnsiTheme="majorBidi" w:cstheme="majorBidi"/>
          <w:sz w:val="24"/>
          <w:szCs w:val="24"/>
          <w:lang w:bidi="ar-IQ"/>
        </w:rPr>
        <w:t xml:space="preserve">, V., </w:t>
      </w:r>
      <w:proofErr w:type="spellStart"/>
      <w:r w:rsidRPr="002906BC">
        <w:rPr>
          <w:rFonts w:asciiTheme="majorBidi" w:hAnsiTheme="majorBidi" w:cstheme="majorBidi"/>
          <w:sz w:val="24"/>
          <w:szCs w:val="24"/>
          <w:lang w:bidi="ar-IQ"/>
        </w:rPr>
        <w:t>Mylona-Karagianni</w:t>
      </w:r>
      <w:proofErr w:type="spellEnd"/>
      <w:r w:rsidRPr="002906BC">
        <w:rPr>
          <w:rFonts w:asciiTheme="majorBidi" w:hAnsiTheme="majorBidi" w:cstheme="majorBidi"/>
          <w:sz w:val="24"/>
          <w:szCs w:val="24"/>
          <w:lang w:bidi="ar-IQ"/>
        </w:rPr>
        <w:t xml:space="preserve">, C., </w:t>
      </w:r>
      <w:proofErr w:type="spellStart"/>
      <w:r w:rsidRPr="002906BC">
        <w:rPr>
          <w:rFonts w:asciiTheme="majorBidi" w:hAnsiTheme="majorBidi" w:cstheme="majorBidi"/>
          <w:sz w:val="24"/>
          <w:szCs w:val="24"/>
          <w:lang w:bidi="ar-IQ"/>
        </w:rPr>
        <w:t>Tsouvalas</w:t>
      </w:r>
      <w:proofErr w:type="spellEnd"/>
      <w:r w:rsidRPr="002906BC">
        <w:rPr>
          <w:rFonts w:asciiTheme="majorBidi" w:hAnsiTheme="majorBidi" w:cstheme="majorBidi"/>
          <w:sz w:val="24"/>
          <w:szCs w:val="24"/>
          <w:lang w:bidi="ar-IQ"/>
        </w:rPr>
        <w:t xml:space="preserve">, E., </w:t>
      </w:r>
      <w:proofErr w:type="spellStart"/>
      <w:r w:rsidRPr="002906BC">
        <w:rPr>
          <w:rFonts w:asciiTheme="majorBidi" w:hAnsiTheme="majorBidi" w:cstheme="majorBidi"/>
          <w:sz w:val="24"/>
          <w:szCs w:val="24"/>
          <w:lang w:bidi="ar-IQ"/>
        </w:rPr>
        <w:t>Aidinis</w:t>
      </w:r>
      <w:proofErr w:type="spellEnd"/>
      <w:r w:rsidRPr="002906BC">
        <w:rPr>
          <w:rFonts w:asciiTheme="majorBidi" w:hAnsiTheme="majorBidi" w:cstheme="majorBidi"/>
          <w:sz w:val="24"/>
          <w:szCs w:val="24"/>
          <w:lang w:bidi="ar-IQ"/>
        </w:rPr>
        <w:t xml:space="preserve">, V., &amp; </w:t>
      </w:r>
      <w:proofErr w:type="spellStart"/>
      <w:r w:rsidRPr="002906BC">
        <w:rPr>
          <w:rFonts w:asciiTheme="majorBidi" w:hAnsiTheme="majorBidi" w:cstheme="majorBidi"/>
          <w:sz w:val="24"/>
          <w:szCs w:val="24"/>
          <w:lang w:bidi="ar-IQ"/>
        </w:rPr>
        <w:t>Kamper</w:t>
      </w:r>
      <w:proofErr w:type="spellEnd"/>
      <w:r w:rsidRPr="002906BC">
        <w:rPr>
          <w:rFonts w:asciiTheme="majorBidi" w:hAnsiTheme="majorBidi" w:cstheme="majorBidi"/>
          <w:sz w:val="24"/>
          <w:szCs w:val="24"/>
          <w:lang w:bidi="ar-IQ"/>
        </w:rPr>
        <w:t xml:space="preserve">, E. (2010). The pattern of inflammatory/anti-inflammatory cytokines and </w:t>
      </w:r>
      <w:proofErr w:type="spellStart"/>
      <w:r w:rsidRPr="002906BC">
        <w:rPr>
          <w:rFonts w:asciiTheme="majorBidi" w:hAnsiTheme="majorBidi" w:cstheme="majorBidi"/>
          <w:sz w:val="24"/>
          <w:szCs w:val="24"/>
          <w:lang w:bidi="ar-IQ"/>
        </w:rPr>
        <w:t>chemokines</w:t>
      </w:r>
      <w:proofErr w:type="spellEnd"/>
      <w:r w:rsidRPr="002906BC">
        <w:rPr>
          <w:rFonts w:asciiTheme="majorBidi" w:hAnsiTheme="majorBidi" w:cstheme="majorBidi"/>
          <w:sz w:val="24"/>
          <w:szCs w:val="24"/>
          <w:lang w:bidi="ar-IQ"/>
        </w:rPr>
        <w:t xml:space="preserve"> in type 1 diabetic patients over time. Annals of medicine, 42(6), 426-438.</w:t>
      </w:r>
    </w:p>
    <w:p w:rsidR="00C40335" w:rsidRPr="002906BC" w:rsidRDefault="00C40335" w:rsidP="00C40335">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Kavvoura</w:t>
      </w:r>
      <w:proofErr w:type="spellEnd"/>
      <w:r w:rsidRPr="002906BC">
        <w:rPr>
          <w:rFonts w:asciiTheme="majorBidi" w:hAnsiTheme="majorBidi" w:cstheme="majorBidi"/>
          <w:sz w:val="24"/>
          <w:szCs w:val="24"/>
          <w:lang w:bidi="ar-IQ"/>
        </w:rPr>
        <w:t xml:space="preserve">, F. K., &amp; Ioannidis, J. P. (2005). CTLA-4 gene polymorphisms and susceptibility to type 1 diabetes mellitus: a </w:t>
      </w:r>
      <w:proofErr w:type="spellStart"/>
      <w:r w:rsidRPr="002906BC">
        <w:rPr>
          <w:rFonts w:asciiTheme="majorBidi" w:hAnsiTheme="majorBidi" w:cstheme="majorBidi"/>
          <w:sz w:val="24"/>
          <w:szCs w:val="24"/>
          <w:lang w:bidi="ar-IQ"/>
        </w:rPr>
        <w:t>HuGE</w:t>
      </w:r>
      <w:proofErr w:type="spellEnd"/>
      <w:r w:rsidRPr="002906BC">
        <w:rPr>
          <w:rFonts w:asciiTheme="majorBidi" w:hAnsiTheme="majorBidi" w:cstheme="majorBidi"/>
          <w:sz w:val="24"/>
          <w:szCs w:val="24"/>
          <w:lang w:bidi="ar-IQ"/>
        </w:rPr>
        <w:t xml:space="preserve"> Review and meta-analysis. American journal of epidemiology, 162(1), 3-16.</w:t>
      </w:r>
    </w:p>
    <w:p w:rsidR="002906BC" w:rsidRDefault="002906BC" w:rsidP="00743FDE">
      <w:pPr>
        <w:bidi w:val="0"/>
        <w:jc w:val="both"/>
        <w:rPr>
          <w:rFonts w:asciiTheme="majorBidi" w:hAnsiTheme="majorBidi" w:cstheme="majorBidi"/>
          <w:sz w:val="24"/>
          <w:szCs w:val="24"/>
          <w:lang w:bidi="ar-IQ"/>
        </w:rPr>
      </w:pPr>
      <w:proofErr w:type="spellStart"/>
      <w:r w:rsidRPr="002906BC">
        <w:rPr>
          <w:rFonts w:asciiTheme="majorBidi" w:hAnsiTheme="majorBidi" w:cstheme="majorBidi"/>
          <w:sz w:val="24"/>
          <w:szCs w:val="24"/>
          <w:lang w:bidi="ar-IQ"/>
        </w:rPr>
        <w:t>Narooie</w:t>
      </w:r>
      <w:r w:rsidRPr="002906BC">
        <w:rPr>
          <w:rFonts w:ascii="MS Mincho" w:eastAsia="MS Mincho" w:hAnsi="MS Mincho" w:cs="MS Mincho" w:hint="eastAsia"/>
          <w:sz w:val="24"/>
          <w:szCs w:val="24"/>
          <w:lang w:bidi="ar-IQ"/>
        </w:rPr>
        <w:t>‑</w:t>
      </w:r>
      <w:r w:rsidRPr="002906BC">
        <w:rPr>
          <w:rFonts w:asciiTheme="majorBidi" w:hAnsiTheme="majorBidi" w:cstheme="majorBidi"/>
          <w:sz w:val="24"/>
          <w:szCs w:val="24"/>
          <w:lang w:bidi="ar-IQ"/>
        </w:rPr>
        <w:t>Nejad</w:t>
      </w:r>
      <w:proofErr w:type="spellEnd"/>
      <w:r w:rsidRPr="002906BC">
        <w:rPr>
          <w:rFonts w:asciiTheme="majorBidi" w:hAnsiTheme="majorBidi" w:cstheme="majorBidi"/>
          <w:sz w:val="24"/>
          <w:szCs w:val="24"/>
          <w:lang w:bidi="ar-IQ"/>
        </w:rPr>
        <w:t xml:space="preserve">, M., </w:t>
      </w:r>
      <w:proofErr w:type="spellStart"/>
      <w:r w:rsidRPr="002906BC">
        <w:rPr>
          <w:rFonts w:asciiTheme="majorBidi" w:hAnsiTheme="majorBidi" w:cstheme="majorBidi"/>
          <w:sz w:val="24"/>
          <w:szCs w:val="24"/>
          <w:lang w:bidi="ar-IQ"/>
        </w:rPr>
        <w:t>Taji</w:t>
      </w:r>
      <w:proofErr w:type="spellEnd"/>
      <w:r w:rsidRPr="002906BC">
        <w:rPr>
          <w:rFonts w:asciiTheme="majorBidi" w:hAnsiTheme="majorBidi" w:cstheme="majorBidi"/>
          <w:sz w:val="24"/>
          <w:szCs w:val="24"/>
          <w:lang w:bidi="ar-IQ"/>
        </w:rPr>
        <w:t xml:space="preserve">, O., </w:t>
      </w:r>
      <w:proofErr w:type="spellStart"/>
      <w:r w:rsidRPr="002906BC">
        <w:rPr>
          <w:rFonts w:asciiTheme="majorBidi" w:hAnsiTheme="majorBidi" w:cstheme="majorBidi"/>
          <w:sz w:val="24"/>
          <w:szCs w:val="24"/>
          <w:lang w:bidi="ar-IQ"/>
        </w:rPr>
        <w:t>Kordi</w:t>
      </w:r>
      <w:proofErr w:type="spellEnd"/>
      <w:r w:rsidRPr="002906BC">
        <w:rPr>
          <w:rFonts w:asciiTheme="majorBidi" w:hAnsiTheme="majorBidi" w:cstheme="majorBidi"/>
          <w:sz w:val="24"/>
          <w:szCs w:val="24"/>
          <w:lang w:bidi="ar-IQ"/>
        </w:rPr>
        <w:t xml:space="preserve"> </w:t>
      </w:r>
      <w:proofErr w:type="spellStart"/>
      <w:r w:rsidRPr="002906BC">
        <w:rPr>
          <w:rFonts w:asciiTheme="majorBidi" w:hAnsiTheme="majorBidi" w:cstheme="majorBidi"/>
          <w:sz w:val="24"/>
          <w:szCs w:val="24"/>
          <w:lang w:bidi="ar-IQ"/>
        </w:rPr>
        <w:t>Tamandani</w:t>
      </w:r>
      <w:proofErr w:type="spellEnd"/>
      <w:r w:rsidRPr="002906BC">
        <w:rPr>
          <w:rFonts w:asciiTheme="majorBidi" w:hAnsiTheme="majorBidi" w:cstheme="majorBidi"/>
          <w:sz w:val="24"/>
          <w:szCs w:val="24"/>
          <w:lang w:bidi="ar-IQ"/>
        </w:rPr>
        <w:t xml:space="preserve">, D. M., &amp; </w:t>
      </w:r>
      <w:proofErr w:type="spellStart"/>
      <w:r w:rsidRPr="002906BC">
        <w:rPr>
          <w:rFonts w:asciiTheme="majorBidi" w:hAnsiTheme="majorBidi" w:cstheme="majorBidi"/>
          <w:sz w:val="24"/>
          <w:szCs w:val="24"/>
          <w:lang w:bidi="ar-IQ"/>
        </w:rPr>
        <w:t>Kaykhaei</w:t>
      </w:r>
      <w:proofErr w:type="spellEnd"/>
      <w:r w:rsidRPr="002906BC">
        <w:rPr>
          <w:rFonts w:asciiTheme="majorBidi" w:hAnsiTheme="majorBidi" w:cstheme="majorBidi"/>
          <w:sz w:val="24"/>
          <w:szCs w:val="24"/>
          <w:lang w:bidi="ar-IQ"/>
        </w:rPr>
        <w:t xml:space="preserve">, M. A. (2017). Association of CTLA-4 gene polymorphisms-318C/T and+ 49A/G and Hashimoto's </w:t>
      </w:r>
      <w:proofErr w:type="spellStart"/>
      <w:r w:rsidRPr="002906BC">
        <w:rPr>
          <w:rFonts w:asciiTheme="majorBidi" w:hAnsiTheme="majorBidi" w:cstheme="majorBidi"/>
          <w:sz w:val="24"/>
          <w:szCs w:val="24"/>
          <w:lang w:bidi="ar-IQ"/>
        </w:rPr>
        <w:t>thyroidits</w:t>
      </w:r>
      <w:proofErr w:type="spellEnd"/>
      <w:r w:rsidRPr="002906BC">
        <w:rPr>
          <w:rFonts w:asciiTheme="majorBidi" w:hAnsiTheme="majorBidi" w:cstheme="majorBidi"/>
          <w:sz w:val="24"/>
          <w:szCs w:val="24"/>
          <w:lang w:bidi="ar-IQ"/>
        </w:rPr>
        <w:t xml:space="preserve"> in </w:t>
      </w:r>
      <w:proofErr w:type="spellStart"/>
      <w:r w:rsidRPr="002906BC">
        <w:rPr>
          <w:rFonts w:asciiTheme="majorBidi" w:hAnsiTheme="majorBidi" w:cstheme="majorBidi"/>
          <w:sz w:val="24"/>
          <w:szCs w:val="24"/>
          <w:lang w:bidi="ar-IQ"/>
        </w:rPr>
        <w:t>Zahedan</w:t>
      </w:r>
      <w:proofErr w:type="spellEnd"/>
      <w:r w:rsidRPr="002906BC">
        <w:rPr>
          <w:rFonts w:asciiTheme="majorBidi" w:hAnsiTheme="majorBidi" w:cstheme="majorBidi"/>
          <w:sz w:val="24"/>
          <w:szCs w:val="24"/>
          <w:lang w:bidi="ar-IQ"/>
        </w:rPr>
        <w:t>, Iran. Biomedical reports, 6(1), 108-112.</w:t>
      </w:r>
    </w:p>
    <w:p w:rsidR="00743FDE" w:rsidRDefault="00743FDE" w:rsidP="00743FDE">
      <w:pPr>
        <w:bidi w:val="0"/>
        <w:jc w:val="both"/>
        <w:rPr>
          <w:rFonts w:asciiTheme="majorBidi" w:hAnsiTheme="majorBidi" w:cstheme="majorBidi"/>
          <w:sz w:val="24"/>
          <w:szCs w:val="24"/>
          <w:lang w:bidi="ar-IQ"/>
        </w:rPr>
      </w:pPr>
      <w:proofErr w:type="spellStart"/>
      <w:r w:rsidRPr="00743FDE">
        <w:rPr>
          <w:rFonts w:asciiTheme="majorBidi" w:hAnsiTheme="majorBidi" w:cstheme="majorBidi"/>
          <w:sz w:val="24"/>
          <w:szCs w:val="24"/>
          <w:lang w:bidi="ar-IQ"/>
        </w:rPr>
        <w:t>Quijada</w:t>
      </w:r>
      <w:proofErr w:type="spellEnd"/>
      <w:r w:rsidRPr="00743FDE">
        <w:rPr>
          <w:rFonts w:asciiTheme="majorBidi" w:hAnsiTheme="majorBidi" w:cstheme="majorBidi"/>
          <w:sz w:val="24"/>
          <w:szCs w:val="24"/>
          <w:lang w:bidi="ar-IQ"/>
        </w:rPr>
        <w:t xml:space="preserve">, Z., Paoli, M., </w:t>
      </w:r>
      <w:proofErr w:type="spellStart"/>
      <w:r w:rsidRPr="00743FDE">
        <w:rPr>
          <w:rFonts w:asciiTheme="majorBidi" w:hAnsiTheme="majorBidi" w:cstheme="majorBidi"/>
          <w:sz w:val="24"/>
          <w:szCs w:val="24"/>
          <w:lang w:bidi="ar-IQ"/>
        </w:rPr>
        <w:t>Zerpa</w:t>
      </w:r>
      <w:proofErr w:type="spellEnd"/>
      <w:r w:rsidRPr="00743FDE">
        <w:rPr>
          <w:rFonts w:asciiTheme="majorBidi" w:hAnsiTheme="majorBidi" w:cstheme="majorBidi"/>
          <w:sz w:val="24"/>
          <w:szCs w:val="24"/>
          <w:lang w:bidi="ar-IQ"/>
        </w:rPr>
        <w:t xml:space="preserve">, Y., Camacho, N., </w:t>
      </w:r>
      <w:proofErr w:type="spellStart"/>
      <w:r w:rsidRPr="00743FDE">
        <w:rPr>
          <w:rFonts w:asciiTheme="majorBidi" w:hAnsiTheme="majorBidi" w:cstheme="majorBidi"/>
          <w:sz w:val="24"/>
          <w:szCs w:val="24"/>
          <w:lang w:bidi="ar-IQ"/>
        </w:rPr>
        <w:t>Cichetti</w:t>
      </w:r>
      <w:proofErr w:type="spellEnd"/>
      <w:r w:rsidRPr="00743FDE">
        <w:rPr>
          <w:rFonts w:asciiTheme="majorBidi" w:hAnsiTheme="majorBidi" w:cstheme="majorBidi"/>
          <w:sz w:val="24"/>
          <w:szCs w:val="24"/>
          <w:lang w:bidi="ar-IQ"/>
        </w:rPr>
        <w:t xml:space="preserve">, R., </w:t>
      </w:r>
      <w:proofErr w:type="spellStart"/>
      <w:r w:rsidRPr="00743FDE">
        <w:rPr>
          <w:rFonts w:asciiTheme="majorBidi" w:hAnsiTheme="majorBidi" w:cstheme="majorBidi"/>
          <w:sz w:val="24"/>
          <w:szCs w:val="24"/>
          <w:lang w:bidi="ar-IQ"/>
        </w:rPr>
        <w:t>Villarroel</w:t>
      </w:r>
      <w:proofErr w:type="spellEnd"/>
      <w:r w:rsidRPr="00743FDE">
        <w:rPr>
          <w:rFonts w:asciiTheme="majorBidi" w:hAnsiTheme="majorBidi" w:cstheme="majorBidi"/>
          <w:sz w:val="24"/>
          <w:szCs w:val="24"/>
          <w:lang w:bidi="ar-IQ"/>
        </w:rPr>
        <w:t>, V</w:t>
      </w:r>
      <w:proofErr w:type="gramStart"/>
      <w:r w:rsidRPr="00743FDE">
        <w:rPr>
          <w:rFonts w:asciiTheme="majorBidi" w:hAnsiTheme="majorBidi" w:cstheme="majorBidi"/>
          <w:sz w:val="24"/>
          <w:szCs w:val="24"/>
          <w:lang w:bidi="ar-IQ"/>
        </w:rPr>
        <w:t>., ...</w:t>
      </w:r>
      <w:proofErr w:type="gramEnd"/>
      <w:r w:rsidRPr="00743FDE">
        <w:rPr>
          <w:rFonts w:asciiTheme="majorBidi" w:hAnsiTheme="majorBidi" w:cstheme="majorBidi"/>
          <w:sz w:val="24"/>
          <w:szCs w:val="24"/>
          <w:lang w:bidi="ar-IQ"/>
        </w:rPr>
        <w:t xml:space="preserve"> &amp; Lanes, R. (2008). The triglyceride/HDL</w:t>
      </w:r>
      <w:r w:rsidRPr="00743FDE">
        <w:rPr>
          <w:rFonts w:ascii="Cambria Math" w:hAnsi="Cambria Math" w:cs="Cambria Math"/>
          <w:sz w:val="24"/>
          <w:szCs w:val="24"/>
          <w:lang w:bidi="ar-IQ"/>
        </w:rPr>
        <w:t>‐</w:t>
      </w:r>
      <w:r w:rsidRPr="00743FDE">
        <w:rPr>
          <w:rFonts w:asciiTheme="majorBidi" w:hAnsiTheme="majorBidi" w:cstheme="majorBidi"/>
          <w:sz w:val="24"/>
          <w:szCs w:val="24"/>
          <w:lang w:bidi="ar-IQ"/>
        </w:rPr>
        <w:t>cholesterol ratio as a marker of cardiovascular risk in obese children; association with traditional and emergent risk factors. Pediatric diabetes, 9(5), 464-471.</w:t>
      </w:r>
    </w:p>
    <w:p w:rsidR="003A6DA8" w:rsidRDefault="003A6DA8" w:rsidP="003A6DA8">
      <w:pPr>
        <w:bidi w:val="0"/>
        <w:jc w:val="both"/>
        <w:rPr>
          <w:rFonts w:asciiTheme="majorBidi" w:hAnsiTheme="majorBidi" w:cstheme="majorBidi"/>
          <w:sz w:val="24"/>
          <w:szCs w:val="24"/>
          <w:lang w:bidi="ar-IQ"/>
        </w:rPr>
      </w:pPr>
      <w:proofErr w:type="spellStart"/>
      <w:r w:rsidRPr="003A6DA8">
        <w:rPr>
          <w:rFonts w:asciiTheme="majorBidi" w:hAnsiTheme="majorBidi" w:cstheme="majorBidi"/>
          <w:sz w:val="24"/>
          <w:szCs w:val="24"/>
          <w:lang w:bidi="ar-IQ"/>
        </w:rPr>
        <w:t>Önal</w:t>
      </w:r>
      <w:proofErr w:type="spellEnd"/>
      <w:r w:rsidRPr="003A6DA8">
        <w:rPr>
          <w:rFonts w:asciiTheme="majorBidi" w:hAnsiTheme="majorBidi" w:cstheme="majorBidi"/>
          <w:sz w:val="24"/>
          <w:szCs w:val="24"/>
          <w:lang w:bidi="ar-IQ"/>
        </w:rPr>
        <w:t xml:space="preserve">, Z. E., </w:t>
      </w:r>
      <w:proofErr w:type="spellStart"/>
      <w:r w:rsidRPr="003A6DA8">
        <w:rPr>
          <w:rFonts w:asciiTheme="majorBidi" w:hAnsiTheme="majorBidi" w:cstheme="majorBidi"/>
          <w:sz w:val="24"/>
          <w:szCs w:val="24"/>
          <w:lang w:bidi="ar-IQ"/>
        </w:rPr>
        <w:t>Atasayan</w:t>
      </w:r>
      <w:proofErr w:type="spellEnd"/>
      <w:r w:rsidRPr="003A6DA8">
        <w:rPr>
          <w:rFonts w:asciiTheme="majorBidi" w:hAnsiTheme="majorBidi" w:cstheme="majorBidi"/>
          <w:sz w:val="24"/>
          <w:szCs w:val="24"/>
          <w:lang w:bidi="ar-IQ"/>
        </w:rPr>
        <w:t xml:space="preserve">, V., </w:t>
      </w:r>
      <w:proofErr w:type="spellStart"/>
      <w:r w:rsidRPr="003A6DA8">
        <w:rPr>
          <w:rFonts w:asciiTheme="majorBidi" w:hAnsiTheme="majorBidi" w:cstheme="majorBidi"/>
          <w:sz w:val="24"/>
          <w:szCs w:val="24"/>
          <w:lang w:bidi="ar-IQ"/>
        </w:rPr>
        <w:t>Gürbüz</w:t>
      </w:r>
      <w:proofErr w:type="spellEnd"/>
      <w:r w:rsidRPr="003A6DA8">
        <w:rPr>
          <w:rFonts w:asciiTheme="majorBidi" w:hAnsiTheme="majorBidi" w:cstheme="majorBidi"/>
          <w:sz w:val="24"/>
          <w:szCs w:val="24"/>
          <w:lang w:bidi="ar-IQ"/>
        </w:rPr>
        <w:t xml:space="preserve">, T., </w:t>
      </w:r>
      <w:proofErr w:type="spellStart"/>
      <w:r w:rsidRPr="003A6DA8">
        <w:rPr>
          <w:rFonts w:asciiTheme="majorBidi" w:hAnsiTheme="majorBidi" w:cstheme="majorBidi"/>
          <w:sz w:val="24"/>
          <w:szCs w:val="24"/>
          <w:lang w:bidi="ar-IQ"/>
        </w:rPr>
        <w:t>Hepkaya</w:t>
      </w:r>
      <w:proofErr w:type="spellEnd"/>
      <w:r w:rsidRPr="003A6DA8">
        <w:rPr>
          <w:rFonts w:asciiTheme="majorBidi" w:hAnsiTheme="majorBidi" w:cstheme="majorBidi"/>
          <w:sz w:val="24"/>
          <w:szCs w:val="24"/>
          <w:lang w:bidi="ar-IQ"/>
        </w:rPr>
        <w:t xml:space="preserve">, E., &amp; </w:t>
      </w:r>
      <w:proofErr w:type="spellStart"/>
      <w:r w:rsidRPr="003A6DA8">
        <w:rPr>
          <w:rFonts w:asciiTheme="majorBidi" w:hAnsiTheme="majorBidi" w:cstheme="majorBidi"/>
          <w:sz w:val="24"/>
          <w:szCs w:val="24"/>
          <w:lang w:bidi="ar-IQ"/>
        </w:rPr>
        <w:t>Nuhoğlu</w:t>
      </w:r>
      <w:proofErr w:type="spellEnd"/>
      <w:r w:rsidRPr="003A6DA8">
        <w:rPr>
          <w:rFonts w:asciiTheme="majorBidi" w:hAnsiTheme="majorBidi" w:cstheme="majorBidi"/>
          <w:sz w:val="24"/>
          <w:szCs w:val="24"/>
          <w:lang w:bidi="ar-IQ"/>
        </w:rPr>
        <w:t xml:space="preserve">, Ç. (2014). Association of glycosylated hemoglobin (HbA1c) levels with </w:t>
      </w:r>
      <w:proofErr w:type="spellStart"/>
      <w:r w:rsidRPr="003A6DA8">
        <w:rPr>
          <w:rFonts w:asciiTheme="majorBidi" w:hAnsiTheme="majorBidi" w:cstheme="majorBidi"/>
          <w:sz w:val="24"/>
          <w:szCs w:val="24"/>
          <w:lang w:bidi="ar-IQ"/>
        </w:rPr>
        <w:t>Iinsulin</w:t>
      </w:r>
      <w:proofErr w:type="spellEnd"/>
      <w:r w:rsidRPr="003A6DA8">
        <w:rPr>
          <w:rFonts w:asciiTheme="majorBidi" w:hAnsiTheme="majorBidi" w:cstheme="majorBidi"/>
          <w:sz w:val="24"/>
          <w:szCs w:val="24"/>
          <w:lang w:bidi="ar-IQ"/>
        </w:rPr>
        <w:t xml:space="preserve"> resistance in obese children. African health sciences, 14(3), 533-538.</w:t>
      </w:r>
    </w:p>
    <w:p w:rsidR="003A6DA8" w:rsidRPr="002906BC" w:rsidRDefault="003A6DA8" w:rsidP="003A6DA8">
      <w:pPr>
        <w:bidi w:val="0"/>
        <w:jc w:val="both"/>
        <w:rPr>
          <w:rFonts w:asciiTheme="majorBidi" w:hAnsiTheme="majorBidi" w:cstheme="majorBidi"/>
          <w:sz w:val="24"/>
          <w:szCs w:val="24"/>
          <w:lang w:bidi="ar-IQ"/>
        </w:rPr>
      </w:pPr>
      <w:proofErr w:type="spellStart"/>
      <w:r w:rsidRPr="003A6DA8">
        <w:rPr>
          <w:rFonts w:asciiTheme="majorBidi" w:hAnsiTheme="majorBidi" w:cstheme="majorBidi"/>
          <w:sz w:val="24"/>
          <w:szCs w:val="24"/>
          <w:lang w:bidi="ar-IQ"/>
        </w:rPr>
        <w:lastRenderedPageBreak/>
        <w:t>Megiorni</w:t>
      </w:r>
      <w:proofErr w:type="spellEnd"/>
      <w:r w:rsidRPr="003A6DA8">
        <w:rPr>
          <w:rFonts w:asciiTheme="majorBidi" w:hAnsiTheme="majorBidi" w:cstheme="majorBidi"/>
          <w:sz w:val="24"/>
          <w:szCs w:val="24"/>
          <w:lang w:bidi="ar-IQ"/>
        </w:rPr>
        <w:t xml:space="preserve">, F., Mora, B., </w:t>
      </w:r>
      <w:proofErr w:type="spellStart"/>
      <w:r w:rsidRPr="003A6DA8">
        <w:rPr>
          <w:rFonts w:asciiTheme="majorBidi" w:hAnsiTheme="majorBidi" w:cstheme="majorBidi"/>
          <w:sz w:val="24"/>
          <w:szCs w:val="24"/>
          <w:lang w:bidi="ar-IQ"/>
        </w:rPr>
        <w:t>Maxia</w:t>
      </w:r>
      <w:proofErr w:type="spellEnd"/>
      <w:r w:rsidRPr="003A6DA8">
        <w:rPr>
          <w:rFonts w:asciiTheme="majorBidi" w:hAnsiTheme="majorBidi" w:cstheme="majorBidi"/>
          <w:sz w:val="24"/>
          <w:szCs w:val="24"/>
          <w:lang w:bidi="ar-IQ"/>
        </w:rPr>
        <w:t xml:space="preserve">, C., </w:t>
      </w:r>
      <w:proofErr w:type="spellStart"/>
      <w:r w:rsidRPr="003A6DA8">
        <w:rPr>
          <w:rFonts w:asciiTheme="majorBidi" w:hAnsiTheme="majorBidi" w:cstheme="majorBidi"/>
          <w:sz w:val="24"/>
          <w:szCs w:val="24"/>
          <w:lang w:bidi="ar-IQ"/>
        </w:rPr>
        <w:t>Gerardi</w:t>
      </w:r>
      <w:proofErr w:type="spellEnd"/>
      <w:r w:rsidRPr="003A6DA8">
        <w:rPr>
          <w:rFonts w:asciiTheme="majorBidi" w:hAnsiTheme="majorBidi" w:cstheme="majorBidi"/>
          <w:sz w:val="24"/>
          <w:szCs w:val="24"/>
          <w:lang w:bidi="ar-IQ"/>
        </w:rPr>
        <w:t xml:space="preserve">, M., </w:t>
      </w:r>
      <w:proofErr w:type="spellStart"/>
      <w:r w:rsidRPr="003A6DA8">
        <w:rPr>
          <w:rFonts w:asciiTheme="majorBidi" w:hAnsiTheme="majorBidi" w:cstheme="majorBidi"/>
          <w:sz w:val="24"/>
          <w:szCs w:val="24"/>
          <w:lang w:bidi="ar-IQ"/>
        </w:rPr>
        <w:t>Pizzuti</w:t>
      </w:r>
      <w:proofErr w:type="spellEnd"/>
      <w:r w:rsidRPr="003A6DA8">
        <w:rPr>
          <w:rFonts w:asciiTheme="majorBidi" w:hAnsiTheme="majorBidi" w:cstheme="majorBidi"/>
          <w:sz w:val="24"/>
          <w:szCs w:val="24"/>
          <w:lang w:bidi="ar-IQ"/>
        </w:rPr>
        <w:t>, A., &amp; Rossi, A. (2013). Cytotoxic T-lymphocyte antigen 4 (CTLA4</w:t>
      </w:r>
      <w:proofErr w:type="gramStart"/>
      <w:r w:rsidRPr="003A6DA8">
        <w:rPr>
          <w:rFonts w:asciiTheme="majorBidi" w:hAnsiTheme="majorBidi" w:cstheme="majorBidi"/>
          <w:sz w:val="24"/>
          <w:szCs w:val="24"/>
          <w:lang w:bidi="ar-IQ"/>
        </w:rPr>
        <w:t>)+</w:t>
      </w:r>
      <w:proofErr w:type="gramEnd"/>
      <w:r w:rsidRPr="003A6DA8">
        <w:rPr>
          <w:rFonts w:asciiTheme="majorBidi" w:hAnsiTheme="majorBidi" w:cstheme="majorBidi"/>
          <w:sz w:val="24"/>
          <w:szCs w:val="24"/>
          <w:lang w:bidi="ar-IQ"/>
        </w:rPr>
        <w:t xml:space="preserve"> 49AG and CT60 gene polymorphisms in Alopecia </w:t>
      </w:r>
      <w:proofErr w:type="spellStart"/>
      <w:r w:rsidRPr="003A6DA8">
        <w:rPr>
          <w:rFonts w:asciiTheme="majorBidi" w:hAnsiTheme="majorBidi" w:cstheme="majorBidi"/>
          <w:sz w:val="24"/>
          <w:szCs w:val="24"/>
          <w:lang w:bidi="ar-IQ"/>
        </w:rPr>
        <w:t>Areata</w:t>
      </w:r>
      <w:proofErr w:type="spellEnd"/>
      <w:r w:rsidRPr="003A6DA8">
        <w:rPr>
          <w:rFonts w:asciiTheme="majorBidi" w:hAnsiTheme="majorBidi" w:cstheme="majorBidi"/>
          <w:sz w:val="24"/>
          <w:szCs w:val="24"/>
          <w:lang w:bidi="ar-IQ"/>
        </w:rPr>
        <w:t>: a case–control association study in the Italian population. Archives of dermatological research, 305(7), 665-670.</w:t>
      </w:r>
    </w:p>
    <w:p w:rsidR="005F55DD" w:rsidRPr="002906BC" w:rsidRDefault="005F55DD" w:rsidP="005F55DD">
      <w:pPr>
        <w:bidi w:val="0"/>
        <w:jc w:val="both"/>
        <w:rPr>
          <w:rFonts w:asciiTheme="majorBidi" w:hAnsiTheme="majorBidi" w:cstheme="majorBidi"/>
          <w:sz w:val="24"/>
          <w:szCs w:val="24"/>
          <w:lang w:bidi="ar-IQ"/>
        </w:rPr>
      </w:pPr>
    </w:p>
    <w:p w:rsidR="005F55DD" w:rsidRPr="002906BC" w:rsidRDefault="005F55DD" w:rsidP="005F55DD">
      <w:pPr>
        <w:bidi w:val="0"/>
        <w:jc w:val="both"/>
        <w:rPr>
          <w:rFonts w:asciiTheme="majorBidi" w:hAnsiTheme="majorBidi" w:cstheme="majorBidi"/>
          <w:sz w:val="24"/>
          <w:szCs w:val="24"/>
          <w:lang w:bidi="ar-IQ"/>
        </w:rPr>
      </w:pPr>
    </w:p>
    <w:sectPr w:rsidR="005F55DD" w:rsidRPr="002906BC" w:rsidSect="007F52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04825"/>
    <w:multiLevelType w:val="hybridMultilevel"/>
    <w:tmpl w:val="3EDE5F2A"/>
    <w:lvl w:ilvl="0" w:tplc="AD3A3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77FF1"/>
    <w:multiLevelType w:val="hybridMultilevel"/>
    <w:tmpl w:val="FB28E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E6"/>
    <w:rsid w:val="000353DC"/>
    <w:rsid w:val="000730BA"/>
    <w:rsid w:val="00091F42"/>
    <w:rsid w:val="0009540F"/>
    <w:rsid w:val="000F7737"/>
    <w:rsid w:val="001A52D0"/>
    <w:rsid w:val="001C00F9"/>
    <w:rsid w:val="001C522F"/>
    <w:rsid w:val="001F17AF"/>
    <w:rsid w:val="001F73F4"/>
    <w:rsid w:val="0023092D"/>
    <w:rsid w:val="002452BE"/>
    <w:rsid w:val="00275B2E"/>
    <w:rsid w:val="002906BC"/>
    <w:rsid w:val="002A0905"/>
    <w:rsid w:val="002A1584"/>
    <w:rsid w:val="002C1718"/>
    <w:rsid w:val="003142C4"/>
    <w:rsid w:val="003A6DA8"/>
    <w:rsid w:val="003C4E6A"/>
    <w:rsid w:val="003D5F83"/>
    <w:rsid w:val="003E3B06"/>
    <w:rsid w:val="003E58F5"/>
    <w:rsid w:val="003F47AC"/>
    <w:rsid w:val="004231E5"/>
    <w:rsid w:val="004827C0"/>
    <w:rsid w:val="004B15FF"/>
    <w:rsid w:val="004D7B7B"/>
    <w:rsid w:val="00586289"/>
    <w:rsid w:val="005F55DD"/>
    <w:rsid w:val="00607334"/>
    <w:rsid w:val="00611E05"/>
    <w:rsid w:val="006478CE"/>
    <w:rsid w:val="006A4C3B"/>
    <w:rsid w:val="00700A42"/>
    <w:rsid w:val="00706C94"/>
    <w:rsid w:val="007156B0"/>
    <w:rsid w:val="00716DE7"/>
    <w:rsid w:val="00741A80"/>
    <w:rsid w:val="00743FDE"/>
    <w:rsid w:val="00775FC4"/>
    <w:rsid w:val="007F525A"/>
    <w:rsid w:val="00865DD9"/>
    <w:rsid w:val="008732D3"/>
    <w:rsid w:val="008E7DE6"/>
    <w:rsid w:val="009644E2"/>
    <w:rsid w:val="00964C8C"/>
    <w:rsid w:val="009E2D1B"/>
    <w:rsid w:val="00A628EA"/>
    <w:rsid w:val="00AB5C36"/>
    <w:rsid w:val="00B2388B"/>
    <w:rsid w:val="00BA24B1"/>
    <w:rsid w:val="00C06D04"/>
    <w:rsid w:val="00C24DE0"/>
    <w:rsid w:val="00C40335"/>
    <w:rsid w:val="00C82BD4"/>
    <w:rsid w:val="00D17999"/>
    <w:rsid w:val="00D76867"/>
    <w:rsid w:val="00DC6A02"/>
    <w:rsid w:val="00DD25A7"/>
    <w:rsid w:val="00E15CB8"/>
    <w:rsid w:val="00E770AB"/>
    <w:rsid w:val="00E87161"/>
    <w:rsid w:val="00EC0BD9"/>
    <w:rsid w:val="00ED56F4"/>
    <w:rsid w:val="00EF078D"/>
    <w:rsid w:val="00F01552"/>
    <w:rsid w:val="00F70A9A"/>
    <w:rsid w:val="00FA1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35C91-849A-4903-A81D-2DCB788F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DE6"/>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865DD9"/>
    <w:pPr>
      <w:widowControl w:val="0"/>
      <w:autoSpaceDE w:val="0"/>
      <w:autoSpaceDN w:val="0"/>
      <w:bidi w:val="0"/>
      <w:spacing w:after="0" w:line="240" w:lineRule="auto"/>
    </w:pPr>
    <w:rPr>
      <w:rFonts w:ascii="Arial MT" w:eastAsia="Arial MT" w:hAnsi="Arial MT" w:cs="Arial MT"/>
    </w:rPr>
  </w:style>
  <w:style w:type="paragraph" w:styleId="ListParagraph">
    <w:name w:val="List Paragraph"/>
    <w:basedOn w:val="Normal"/>
    <w:uiPriority w:val="34"/>
    <w:qFormat/>
    <w:rsid w:val="00741A80"/>
    <w:pPr>
      <w:ind w:left="720"/>
      <w:contextualSpacing/>
    </w:pPr>
  </w:style>
  <w:style w:type="table" w:styleId="TableGrid">
    <w:name w:val="Table Grid"/>
    <w:basedOn w:val="TableNormal"/>
    <w:uiPriority w:val="59"/>
    <w:rsid w:val="002C1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8CE"/>
    <w:rPr>
      <w:rFonts w:ascii="Tahoma" w:hAnsi="Tahoma" w:cs="Tahoma"/>
      <w:sz w:val="16"/>
      <w:szCs w:val="16"/>
    </w:rPr>
  </w:style>
  <w:style w:type="character" w:styleId="Emphasis">
    <w:name w:val="Emphasis"/>
    <w:basedOn w:val="DefaultParagraphFont"/>
    <w:uiPriority w:val="20"/>
    <w:qFormat/>
    <w:rsid w:val="00275B2E"/>
    <w:rPr>
      <w:i/>
      <w:iCs/>
    </w:rPr>
  </w:style>
  <w:style w:type="character" w:styleId="Hyperlink">
    <w:name w:val="Hyperlink"/>
    <w:basedOn w:val="DefaultParagraphFont"/>
    <w:uiPriority w:val="99"/>
    <w:semiHidden/>
    <w:unhideWhenUsed/>
    <w:rsid w:val="00275B2E"/>
    <w:rPr>
      <w:color w:val="0000FF"/>
      <w:u w:val="single"/>
    </w:rPr>
  </w:style>
  <w:style w:type="character" w:customStyle="1" w:styleId="figpopup-sensitive-area">
    <w:name w:val="figpopup-sensitive-area"/>
    <w:basedOn w:val="DefaultParagraphFont"/>
    <w:rsid w:val="00275B2E"/>
  </w:style>
  <w:style w:type="table" w:styleId="MediumShading2-Accent1">
    <w:name w:val="Medium Shading 2 Accent 1"/>
    <w:basedOn w:val="TableNormal"/>
    <w:uiPriority w:val="64"/>
    <w:rsid w:val="00275B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0496">
      <w:bodyDiv w:val="1"/>
      <w:marLeft w:val="0"/>
      <w:marRight w:val="0"/>
      <w:marTop w:val="0"/>
      <w:marBottom w:val="0"/>
      <w:divBdr>
        <w:top w:val="none" w:sz="0" w:space="0" w:color="auto"/>
        <w:left w:val="none" w:sz="0" w:space="0" w:color="auto"/>
        <w:bottom w:val="none" w:sz="0" w:space="0" w:color="auto"/>
        <w:right w:val="none" w:sz="0" w:space="0" w:color="auto"/>
      </w:divBdr>
    </w:div>
    <w:div w:id="1332875545">
      <w:bodyDiv w:val="1"/>
      <w:marLeft w:val="0"/>
      <w:marRight w:val="0"/>
      <w:marTop w:val="0"/>
      <w:marBottom w:val="0"/>
      <w:divBdr>
        <w:top w:val="none" w:sz="0" w:space="0" w:color="auto"/>
        <w:left w:val="none" w:sz="0" w:space="0" w:color="auto"/>
        <w:bottom w:val="none" w:sz="0" w:space="0" w:color="auto"/>
        <w:right w:val="none" w:sz="0" w:space="0" w:color="auto"/>
      </w:divBdr>
    </w:div>
    <w:div w:id="19699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3567</Words>
  <Characters>20333</Characters>
  <Application>Microsoft Office Word</Application>
  <DocSecurity>0</DocSecurity>
  <Lines>169</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user</cp:lastModifiedBy>
  <cp:revision>2</cp:revision>
  <dcterms:created xsi:type="dcterms:W3CDTF">2022-01-31T13:01:00Z</dcterms:created>
  <dcterms:modified xsi:type="dcterms:W3CDTF">2022-01-31T13:01:00Z</dcterms:modified>
</cp:coreProperties>
</file>