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5F5B4" w14:textId="6D9B541D" w:rsidR="00217EDA" w:rsidRDefault="004812B7" w:rsidP="00A51F09">
      <w:pPr>
        <w:rPr>
          <w:b/>
          <w:bCs/>
        </w:rPr>
      </w:pPr>
      <w:bookmarkStart w:id="0" w:name="_Hlk153118379"/>
      <w:r>
        <w:rPr>
          <w:b/>
          <w:bCs/>
        </w:rPr>
        <w:t>Enhancement</w:t>
      </w:r>
      <w:r w:rsidRPr="00BB3B7F">
        <w:rPr>
          <w:b/>
          <w:bCs/>
        </w:rPr>
        <w:t xml:space="preserve"> the Quality of </w:t>
      </w:r>
      <w:r>
        <w:rPr>
          <w:b/>
          <w:bCs/>
        </w:rPr>
        <w:t>Ramie</w:t>
      </w:r>
      <w:r w:rsidRPr="00BB3B7F">
        <w:rPr>
          <w:b/>
          <w:bCs/>
        </w:rPr>
        <w:t xml:space="preserve"> </w:t>
      </w:r>
      <w:r w:rsidRPr="00311BAD">
        <w:rPr>
          <w:b/>
          <w:bCs/>
        </w:rPr>
        <w:t>Leaves</w:t>
      </w:r>
      <w:r w:rsidRPr="00BB3B7F">
        <w:rPr>
          <w:b/>
          <w:bCs/>
        </w:rPr>
        <w:t xml:space="preserve"> Silage (</w:t>
      </w:r>
      <w:r w:rsidRPr="00BB3B7F">
        <w:rPr>
          <w:b/>
          <w:bCs/>
          <w:i/>
          <w:iCs/>
        </w:rPr>
        <w:t>Boehmeria nivea</w:t>
      </w:r>
      <w:r w:rsidRPr="00BB3B7F">
        <w:rPr>
          <w:b/>
          <w:bCs/>
        </w:rPr>
        <w:t xml:space="preserve"> L. Gaud) </w:t>
      </w:r>
      <w:r>
        <w:rPr>
          <w:b/>
          <w:bCs/>
        </w:rPr>
        <w:t>with</w:t>
      </w:r>
      <w:r w:rsidRPr="00BB3B7F">
        <w:rPr>
          <w:b/>
          <w:bCs/>
        </w:rPr>
        <w:t xml:space="preserve"> Probiotic Starter During Aerobic Exposure and Palatability Levels in Sheep (</w:t>
      </w:r>
      <w:r w:rsidRPr="00BB3B7F">
        <w:rPr>
          <w:b/>
          <w:bCs/>
          <w:i/>
          <w:iCs/>
        </w:rPr>
        <w:t>Ovis aries</w:t>
      </w:r>
      <w:r w:rsidRPr="00BB3B7F">
        <w:rPr>
          <w:b/>
          <w:bCs/>
        </w:rPr>
        <w:t>)</w:t>
      </w:r>
    </w:p>
    <w:bookmarkEnd w:id="0"/>
    <w:p w14:paraId="0A4AD5F9" w14:textId="77777777" w:rsidR="00BB3B7F" w:rsidRPr="00217EDA" w:rsidRDefault="00BB3B7F" w:rsidP="00A51F09">
      <w:pPr>
        <w:rPr>
          <w:b/>
          <w:bCs/>
        </w:rPr>
      </w:pPr>
    </w:p>
    <w:p w14:paraId="2820D0ED" w14:textId="17B47616" w:rsidR="00A51F09" w:rsidRPr="00A51F09" w:rsidRDefault="00A51F09" w:rsidP="00A51F09">
      <w:pPr>
        <w:rPr>
          <w:b/>
          <w:vertAlign w:val="superscript"/>
          <w:lang w:val="en-ID"/>
        </w:rPr>
      </w:pPr>
      <w:r w:rsidRPr="00A51F09">
        <w:rPr>
          <w:b/>
          <w:lang w:val="en-ID"/>
        </w:rPr>
        <w:t>Firla Amalia Resmawan</w:t>
      </w:r>
      <w:r w:rsidRPr="00A51F09">
        <w:rPr>
          <w:b/>
          <w:vertAlign w:val="superscript"/>
          <w:lang w:val="en-ID"/>
        </w:rPr>
        <w:t>1</w:t>
      </w:r>
      <w:r w:rsidR="00197DC0">
        <w:rPr>
          <w:b/>
          <w:lang w:val="en-ID"/>
        </w:rPr>
        <w:t>, A</w:t>
      </w:r>
      <w:r w:rsidR="00197DC0" w:rsidRPr="00A51F09">
        <w:rPr>
          <w:b/>
          <w:lang w:val="en-ID"/>
        </w:rPr>
        <w:t>sri Peni Wulandari</w:t>
      </w:r>
      <w:r w:rsidR="00197DC0" w:rsidRPr="00A51F09">
        <w:rPr>
          <w:b/>
          <w:vertAlign w:val="superscript"/>
          <w:lang w:val="en-ID"/>
        </w:rPr>
        <w:t>1,2*</w:t>
      </w:r>
    </w:p>
    <w:p w14:paraId="0DFBEA0B" w14:textId="7E8B60FF" w:rsidR="00A51F09" w:rsidRPr="00A51F09" w:rsidRDefault="00A51F09" w:rsidP="00A51F09">
      <w:pPr>
        <w:rPr>
          <w:lang w:val="en-ID"/>
        </w:rPr>
      </w:pPr>
      <w:r w:rsidRPr="00A51F09">
        <w:rPr>
          <w:vertAlign w:val="superscript"/>
          <w:lang w:val="en-ID"/>
        </w:rPr>
        <w:t>1</w:t>
      </w:r>
      <w:r w:rsidRPr="00A51F09">
        <w:rPr>
          <w:lang w:val="en-ID"/>
        </w:rPr>
        <w:t>Depart</w:t>
      </w:r>
      <w:r w:rsidR="00BB3B7F">
        <w:rPr>
          <w:lang w:val="en-ID"/>
        </w:rPr>
        <w:t>ment of</w:t>
      </w:r>
      <w:r w:rsidRPr="00A51F09">
        <w:rPr>
          <w:lang w:val="en-ID"/>
        </w:rPr>
        <w:t xml:space="preserve"> </w:t>
      </w:r>
      <w:r w:rsidR="00BB3B7F">
        <w:rPr>
          <w:lang w:val="en-ID"/>
        </w:rPr>
        <w:t>Biology</w:t>
      </w:r>
      <w:r w:rsidRPr="00A51F09">
        <w:rPr>
          <w:lang w:val="en-ID"/>
        </w:rPr>
        <w:t xml:space="preserve">, </w:t>
      </w:r>
      <w:r w:rsidR="00BB3B7F">
        <w:rPr>
          <w:lang w:val="en-ID"/>
        </w:rPr>
        <w:t>Padjadjaran University</w:t>
      </w:r>
      <w:r w:rsidRPr="00A51F09">
        <w:rPr>
          <w:lang w:val="en-ID"/>
        </w:rPr>
        <w:t xml:space="preserve">, </w:t>
      </w:r>
      <w:r w:rsidRPr="00A51F09">
        <w:t>Sumedang</w:t>
      </w:r>
      <w:r w:rsidRPr="00A51F09">
        <w:rPr>
          <w:lang w:val="id-ID"/>
        </w:rPr>
        <w:t xml:space="preserve"> 45363</w:t>
      </w:r>
      <w:r w:rsidRPr="00A51F09">
        <w:t>,</w:t>
      </w:r>
      <w:r w:rsidRPr="00A51F09">
        <w:rPr>
          <w:lang w:val="en-ID"/>
        </w:rPr>
        <w:t xml:space="preserve"> Indonesia</w:t>
      </w:r>
    </w:p>
    <w:p w14:paraId="21CDCDFD" w14:textId="6F641496" w:rsidR="00874A71" w:rsidRDefault="00A51F09" w:rsidP="00A51F09">
      <w:pPr>
        <w:rPr>
          <w:lang w:val="en-ID"/>
        </w:rPr>
      </w:pPr>
      <w:r w:rsidRPr="00A51F09">
        <w:rPr>
          <w:vertAlign w:val="superscript"/>
          <w:lang w:val="en-ID"/>
        </w:rPr>
        <w:t>2</w:t>
      </w:r>
      <w:r w:rsidR="00874A71" w:rsidRPr="00874A71">
        <w:rPr>
          <w:lang w:val="en-ID"/>
        </w:rPr>
        <w:t>Center for Bioprospecting Studies on Natural Fibers and Biological Resources, Padjadjaran University, Bandung 40132, Indonesia</w:t>
      </w:r>
    </w:p>
    <w:p w14:paraId="1F0F0C00" w14:textId="49DF97C2" w:rsidR="00A51F09" w:rsidRPr="00A51F09" w:rsidRDefault="00A51F09" w:rsidP="00A51F09">
      <w:pPr>
        <w:rPr>
          <w:lang w:val="en-ID"/>
        </w:rPr>
      </w:pPr>
      <w:r w:rsidRPr="00A51F09">
        <w:rPr>
          <w:vertAlign w:val="superscript"/>
          <w:lang w:val="en-ID"/>
        </w:rPr>
        <w:t>*</w:t>
      </w:r>
      <w:r w:rsidRPr="00A51F09">
        <w:rPr>
          <w:lang w:val="id-ID"/>
        </w:rPr>
        <w:t>For correspondence</w:t>
      </w:r>
      <w:r w:rsidRPr="00A51F09">
        <w:rPr>
          <w:lang w:val="en-ID"/>
        </w:rPr>
        <w:t xml:space="preserve">: </w:t>
      </w:r>
      <w:hyperlink r:id="rId8" w:history="1">
        <w:r w:rsidRPr="00A51F09">
          <w:rPr>
            <w:rStyle w:val="Hyperlink"/>
            <w:lang w:val="en-ID"/>
          </w:rPr>
          <w:t>asri.peni@unpad.ac.id</w:t>
        </w:r>
      </w:hyperlink>
    </w:p>
    <w:p w14:paraId="2A7A8F12" w14:textId="77777777" w:rsidR="00B3734A" w:rsidRDefault="00B3734A" w:rsidP="00A51F09">
      <w:pPr>
        <w:rPr>
          <w:b/>
          <w:bCs/>
          <w:lang w:val="en-ID"/>
        </w:rPr>
      </w:pPr>
    </w:p>
    <w:p w14:paraId="36930582" w14:textId="77777777" w:rsidR="00561DC1" w:rsidRDefault="00A51F09" w:rsidP="00561DC1">
      <w:pPr>
        <w:rPr>
          <w:b/>
          <w:bCs/>
          <w:lang w:val="en-ID"/>
        </w:rPr>
      </w:pPr>
      <w:r w:rsidRPr="00A51F09">
        <w:rPr>
          <w:b/>
          <w:bCs/>
          <w:lang w:val="en-ID"/>
        </w:rPr>
        <w:t>Novelty Statement</w:t>
      </w:r>
    </w:p>
    <w:p w14:paraId="7D864EC0" w14:textId="77777777" w:rsidR="00DF6F2F" w:rsidRDefault="00DF6F2F" w:rsidP="00561DC1">
      <w:pPr>
        <w:rPr>
          <w:b/>
          <w:bCs/>
          <w:lang w:val="en-ID"/>
        </w:rPr>
      </w:pPr>
    </w:p>
    <w:p w14:paraId="013E8BE1" w14:textId="31EE0220" w:rsidR="00561DC1" w:rsidRPr="00561DC1" w:rsidRDefault="00561DC1" w:rsidP="00DF6F2F">
      <w:pPr>
        <w:spacing w:line="480" w:lineRule="auto"/>
        <w:rPr>
          <w:b/>
          <w:bCs/>
          <w:lang w:val="en-ID"/>
        </w:rPr>
      </w:pPr>
      <w:r>
        <w:rPr>
          <w:color w:val="252525"/>
        </w:rPr>
        <w:t xml:space="preserve">Ramie is a potential source of biomass as a raw material for making silage because it has a high crude protein content of up to 16.35%. Silage production is a strategy to overcome limited forage, especially during the dry season. The development of Ramie-based silage products with the addition of the probiotic </w:t>
      </w:r>
      <w:r w:rsidR="00E00DF5">
        <w:rPr>
          <w:color w:val="252525"/>
        </w:rPr>
        <w:t>starter</w:t>
      </w:r>
      <w:r>
        <w:rPr>
          <w:color w:val="252525"/>
        </w:rPr>
        <w:t xml:space="preserve"> has been proven to increase aerobic stability and silage quality.</w:t>
      </w:r>
    </w:p>
    <w:p w14:paraId="424B80F5" w14:textId="77777777" w:rsidR="00B3734A" w:rsidRDefault="00B3734A" w:rsidP="00A51F09">
      <w:pPr>
        <w:rPr>
          <w:b/>
          <w:bCs/>
        </w:rPr>
      </w:pPr>
    </w:p>
    <w:p w14:paraId="46ADE50F" w14:textId="3ACF6B13" w:rsidR="00A51F09" w:rsidRPr="00A51F09" w:rsidRDefault="00A51F09" w:rsidP="00A51F09">
      <w:pPr>
        <w:rPr>
          <w:b/>
          <w:bCs/>
        </w:rPr>
      </w:pPr>
      <w:r w:rsidRPr="00A51F09">
        <w:rPr>
          <w:b/>
          <w:bCs/>
        </w:rPr>
        <w:t>ABSTRACT</w:t>
      </w:r>
    </w:p>
    <w:p w14:paraId="2EE63393" w14:textId="15D55B59" w:rsidR="00561DC1" w:rsidRDefault="00561DC1" w:rsidP="00DF6F2F">
      <w:pPr>
        <w:pStyle w:val="NormalWeb"/>
        <w:spacing w:line="480" w:lineRule="auto"/>
        <w:jc w:val="both"/>
        <w:rPr>
          <w:color w:val="252525"/>
        </w:rPr>
      </w:pPr>
      <w:r>
        <w:rPr>
          <w:color w:val="252525"/>
        </w:rPr>
        <w:t>The addition of a probiotic starter in silage production will improve fermentation quality, aerobic stability, and potential animal performance. This research was conducted to determine the effect of aerobic exposure and re-ensiling on silage quality and palatability levels in sheep. Treatment consisted of control (</w:t>
      </w:r>
      <w:r w:rsidR="00311BAD" w:rsidRPr="00311BAD">
        <w:rPr>
          <w:color w:val="252525"/>
        </w:rPr>
        <w:t>ramie</w:t>
      </w:r>
      <w:r>
        <w:rPr>
          <w:color w:val="252525"/>
        </w:rPr>
        <w:t xml:space="preserve"> leaves + 3% molasses); P1 (</w:t>
      </w:r>
      <w:r w:rsidR="00311BAD" w:rsidRPr="00311BAD">
        <w:rPr>
          <w:color w:val="252525"/>
        </w:rPr>
        <w:t>ramie</w:t>
      </w:r>
      <w:r>
        <w:rPr>
          <w:color w:val="252525"/>
        </w:rPr>
        <w:t xml:space="preserve"> leaves + </w:t>
      </w:r>
      <w:r w:rsidR="00E00DF5">
        <w:rPr>
          <w:color w:val="252525"/>
        </w:rPr>
        <w:t>probiotic starter with rice bran</w:t>
      </w:r>
      <w:r>
        <w:rPr>
          <w:color w:val="252525"/>
        </w:rPr>
        <w:t xml:space="preserve"> 3%); and P2 (</w:t>
      </w:r>
      <w:r w:rsidR="00311BAD" w:rsidRPr="00311BAD">
        <w:rPr>
          <w:color w:val="252525"/>
        </w:rPr>
        <w:t>ramie</w:t>
      </w:r>
      <w:r>
        <w:rPr>
          <w:color w:val="252525"/>
        </w:rPr>
        <w:t xml:space="preserve"> leaves + </w:t>
      </w:r>
      <w:r w:rsidR="00E00DF5">
        <w:rPr>
          <w:color w:val="252525"/>
        </w:rPr>
        <w:t>Probiotic starter with heriyaki powder</w:t>
      </w:r>
      <w:r>
        <w:rPr>
          <w:color w:val="252525"/>
        </w:rPr>
        <w:t xml:space="preserve"> 3%). The parameters observed were physical parameters (texture, color, aroma, presence of mold), chemical parameters (pH), microbiological parameters (microbial counts), and palatability level. The best-quality silage was tested to be made </w:t>
      </w:r>
      <w:r>
        <w:rPr>
          <w:color w:val="252525"/>
        </w:rPr>
        <w:lastRenderedPageBreak/>
        <w:t xml:space="preserve">in pellet form. The research results showed that the addition of the </w:t>
      </w:r>
      <w:r w:rsidR="00E00DF5">
        <w:rPr>
          <w:color w:val="252525"/>
        </w:rPr>
        <w:t>Probiotic starter with heriyaki powder</w:t>
      </w:r>
      <w:r>
        <w:rPr>
          <w:color w:val="252525"/>
        </w:rPr>
        <w:t xml:space="preserve"> additive produced the best physical and chemical silage quality and had better aerobic stability compared to other treatments. The palatability level of sheep for </w:t>
      </w:r>
      <w:r w:rsidR="00E00DF5">
        <w:rPr>
          <w:color w:val="252525"/>
        </w:rPr>
        <w:t>Probiotic starter with heriyaki powder</w:t>
      </w:r>
      <w:r>
        <w:rPr>
          <w:color w:val="252525"/>
        </w:rPr>
        <w:t xml:space="preserve"> silage was 28.07% higher compared to standard feed. The results of this research can be applied in the livestock sector to produce high-protein ration products, especially for ruminant feed, and are green technology.</w:t>
      </w:r>
    </w:p>
    <w:p w14:paraId="792C8133" w14:textId="3867F774" w:rsidR="00B3734A" w:rsidRDefault="00A51F09" w:rsidP="00A51F09">
      <w:r w:rsidRPr="00C33724">
        <w:rPr>
          <w:b/>
          <w:bCs/>
        </w:rPr>
        <w:t>Keywords:</w:t>
      </w:r>
      <w:r w:rsidRPr="00C33724">
        <w:t xml:space="preserve"> </w:t>
      </w:r>
      <w:r w:rsidR="00561DC1" w:rsidRPr="00561DC1">
        <w:t xml:space="preserve">Aerobic Exposure; Palatability; </w:t>
      </w:r>
      <w:r w:rsidR="00561DC1">
        <w:t>Ramie</w:t>
      </w:r>
      <w:r w:rsidR="00561DC1" w:rsidRPr="00561DC1">
        <w:t xml:space="preserve"> leaves; Re-ensiling; Silage</w:t>
      </w:r>
      <w:r w:rsidR="001120D5">
        <w:t>.</w:t>
      </w:r>
    </w:p>
    <w:p w14:paraId="10FDAA97" w14:textId="77777777" w:rsidR="00561DC1" w:rsidRDefault="00561DC1" w:rsidP="00A51F09">
      <w:pPr>
        <w:rPr>
          <w:b/>
          <w:bCs/>
        </w:rPr>
      </w:pPr>
    </w:p>
    <w:p w14:paraId="6D9453CA" w14:textId="3298B6E3" w:rsidR="001120D5" w:rsidRPr="001120D5" w:rsidRDefault="00A51F09" w:rsidP="001120D5">
      <w:pPr>
        <w:rPr>
          <w:color w:val="FF0000"/>
        </w:rPr>
      </w:pPr>
      <w:r w:rsidRPr="00A51F09">
        <w:rPr>
          <w:b/>
          <w:bCs/>
        </w:rPr>
        <w:t>Introduction</w:t>
      </w:r>
      <w:r w:rsidR="006C3E10">
        <w:rPr>
          <w:b/>
          <w:bCs/>
        </w:rPr>
        <w:t xml:space="preserve"> </w:t>
      </w:r>
    </w:p>
    <w:p w14:paraId="3A7C2401" w14:textId="795DDCE4" w:rsidR="001120D5" w:rsidRDefault="001120D5" w:rsidP="00DF6F2F">
      <w:pPr>
        <w:pStyle w:val="NormalWeb"/>
        <w:spacing w:before="0" w:beforeAutospacing="0" w:after="0" w:afterAutospacing="0" w:line="480" w:lineRule="auto"/>
        <w:ind w:firstLine="720"/>
        <w:jc w:val="both"/>
        <w:rPr>
          <w:color w:val="252525"/>
        </w:rPr>
      </w:pPr>
      <w:r>
        <w:rPr>
          <w:color w:val="252525"/>
        </w:rPr>
        <w:t>Ramie (</w:t>
      </w:r>
      <w:r w:rsidRPr="001120D5">
        <w:rPr>
          <w:i/>
          <w:iCs/>
          <w:color w:val="252525"/>
        </w:rPr>
        <w:t>Boehmeria nivea</w:t>
      </w:r>
      <w:r>
        <w:rPr>
          <w:color w:val="252525"/>
        </w:rPr>
        <w:t xml:space="preserve">) is a potential biomass source as a raw material for ruminant animal feed because it has a high protein content of around 179–211 g/kg dry weight </w:t>
      </w:r>
      <w:r w:rsidRPr="00180101">
        <w:rPr>
          <w:lang w:val="id-ID"/>
        </w:rPr>
        <w:fldChar w:fldCharType="begin" w:fldLock="1"/>
      </w:r>
      <w:r w:rsidRPr="00180101">
        <w:rPr>
          <w:lang w:val="id-ID"/>
        </w:rPr>
        <w:instrText>ADDIN CSL_CITATION {"citationItems":[{"id":"ITEM-1","itemData":{"DOI":"10.3390/fermentation8090432","ISSN":"23115637","abstract":"The study aimed to investigate the nutritional value of ramie (Boehmeria nivea) silage, and its consequences for chewing activity, rumen fermentation, and enteric methane (CH4) emissions in goats, by comparing it with corn stover (CS) silage. An in vitro ruminal experiment was firstly performed to investigate the substrate degradation and fermentation of CS and ramie silage. The ramie silage diet was formulated by replacing 60% of CS silage with ramie silage (dry matter (DM) basis). Eight female Xiangdong Black goats (a local breed in Southern China, 1 to 1.2 years of age) with BW of 21.0 ± 1.05 kg were used for this experiment and were randomly assigned to either one of the two dietary treatments in a cross-over design. The ramie silage had higher crude protein (CP) and ash content and lower hemicellulose content, together with decreased (p &lt; 0.05) nutrient degradation and methane production and increased (p &lt; 0.05) acetate molar percentage and acetate to propionate ratio through in vitro ruminal fermentation. Feeding the ramie silage diet did not alter feed intake (p &gt; 0.05), decreased (p &lt; 0.05) nutrient digestibility, and increased (p &lt; 0.05) chewing activity and rumination activity, with reductions (p &lt; 0.05) in eating activity and idle activity. Although feeding the ramie silage diet caused a greater (p &lt; 0.05) molar percentage of acetate and lower molar percentage of propionate, it decreased the rumen-dissolved CH4 concentration and enteric CH4 emissions (p &lt; 0.05). Feeding the ramie silage diet did not alter (p &gt; 0.05) the population of bacteria, protozoa, and fungi; it increased the 16S rRNA gene copies of Ruminococcus flavefaciens (p &lt; 0.05). Further 16SrRNA gene amplicon analysis indicated a distinct bacterial composition between the two treatments (p &lt; 0.05). Feeding the ramie silage diet led to a lower abundance of genera Lawsonibacter, Sedimentibacter, Saccharofermentans, Sediminibacterium, and Bifidobacterium (p &lt; 0.05). Ramie can be an alternative forage resource to stimulate chewing activity and reduce CH4 emissions in ruminants.","author":[{"dropping-particle":"","family":"Tian","given":"Xu","non-dropping-particle":"","parse-names":false,"suffix":""},{"dropping-particle":"","family":"Gao","given":"Cheng","non-dropping-particle":"","parse-names":false,"suffix":""},{"dropping-particle":"","family":"Hou","given":"Zhengping","non-dropping-particle":"","parse-names":false,"suffix":""},{"dropping-particle":"","family":"Wang","given":"Rong","non-dropping-particle":"","parse-names":false,"suffix":""},{"dropping-particle":"","family":"Zhang","given":"Xiumin","non-dropping-particle":"","parse-names":false,"suffix":""},{"dropping-particle":"","family":"Li","given":"Qiushuang","non-dropping-particle":"","parse-names":false,"suffix":""},{"dropping-particle":"","family":"Wei","given":"Zhongshan","non-dropping-particle":"","parse-names":false,"suffix":""},{"dropping-particle":"","family":"Wu","given":"Duanqin","non-dropping-particle":"","parse-names":false,"suffix":""},{"dropping-particle":"","family":"Wang","given":"Min","non-dropping-particle":"","parse-names":false,"suffix":""}],"container-title":"Fermentation","id":"ITEM-1","issue":"9","issued":{"date-parts":[["2022"]]},"page":"1-16","title":"Comparisons of Ramie and Corn Stover Silages: Effects on Chewing Activity, Rumen Fermentation, Microbiota and Methane Emissions in Goats","type":"article-journal","volume":"8"},"uris":["http://www.mendeley.com/documents/?uuid=9568219a-ad2f-4f37-aec2-cb7b1e47837f"]}],"mendeley":{"formattedCitation":"(Tian et al., 2022)","plainTextFormattedCitation":"(Tian et al., 2022)","previouslyFormattedCitation":"(Tian et al., 2022)"},"properties":{"noteIndex":0},"schema":"https://github.com/citation-style-language/schema/raw/master/csl-citation.json"}</w:instrText>
      </w:r>
      <w:r w:rsidRPr="00180101">
        <w:rPr>
          <w:lang w:val="id-ID"/>
        </w:rPr>
        <w:fldChar w:fldCharType="separate"/>
      </w:r>
      <w:r w:rsidRPr="00180101">
        <w:rPr>
          <w:lang w:val="id-ID"/>
        </w:rPr>
        <w:t>(Tian</w:t>
      </w:r>
      <w:r w:rsidRPr="00180101">
        <w:rPr>
          <w:i/>
          <w:iCs/>
          <w:lang w:val="id-ID"/>
        </w:rPr>
        <w:t xml:space="preserve"> et al</w:t>
      </w:r>
      <w:r w:rsidRPr="00180101">
        <w:rPr>
          <w:lang w:val="id-ID"/>
        </w:rPr>
        <w:t>. 2022)</w:t>
      </w:r>
      <w:r w:rsidRPr="00180101">
        <w:fldChar w:fldCharType="end"/>
      </w:r>
      <w:r>
        <w:t xml:space="preserve"> </w:t>
      </w:r>
      <w:r>
        <w:rPr>
          <w:color w:val="252525"/>
        </w:rPr>
        <w:t xml:space="preserve">and is rich in antioxidants such as polyphenols and flavonoids </w:t>
      </w:r>
      <w:r w:rsidRPr="00180101">
        <w:fldChar w:fldCharType="begin" w:fldLock="1"/>
      </w:r>
      <w:r w:rsidRPr="00180101">
        <w:instrText>ADDIN CSL_CITATION {"citationItems":[{"id":"ITEM-1","itemData":{"DOI":"10.1016/j.aninu.2020.11.020","ISSN":"24056383","abstract":"Ramie (Boehmeria nivea) is noted for the production of a large biomass that has a high protein content and is rich in antioxidants. It may thus serve as a high-quality forage material to replace alfalfa and improve the meat quality of farmed animals. In this study, we evaluated the carcass characteristics and meat quality of goats when 0, 35%, 75%, and 100% of dietary alfalfa was replaced with ramie. Crude protein content (linear, P &lt; 0.0001) and key muscle color values at 24 h after slaughter decreased with increasing ramie levels. The content of most individual amino acids, non-essential amino acids (NEAA), total amino acids (TAA), branched chain amino acids (BCAA), functional amino acids (FAA), and flavor amino acids (DAA) decreased (P &lt; 0.05) with increasing dietary ramie. The diet in which 35% of alfalfa was replaced with ramie yielded meat with the highest amino acid content, whereas the fatty acid profile was unaffected by the inclusion of ramie. These results indicate that ramie could be used as a potential dietary forage resource for goats, and that substituting 35% of alfalfa with ramie, which is equivalent to 126 g/kg DM content, would be optimal in terms of goat meat quality.","author":[{"dropping-particle":"","family":"Tang","given":"Shaoxun","non-dropping-particle":"","parse-names":false,"suffix":""},{"dropping-particle":"","family":"He","given":"Yao","non-dropping-particle":"","parse-names":false,"suffix":""},{"dropping-particle":"","family":"Zhang","given":"Peihua","non-dropping-particle":"","parse-names":false,"suffix":""},{"dropping-particle":"","family":"Kang","given":"Jinhe","non-dropping-particle":"","parse-names":false,"suffix":""},{"dropping-particle":"","family":"Yan","given":"Qiongxian","non-dropping-particle":"","parse-names":false,"suffix":""},{"dropping-particle":"","family":"Han","given":"Xuefeng","non-dropping-particle":"","parse-names":false,"suffix":""},{"dropping-particle":"","family":"Tan","given":"Zhiliang","non-dropping-particle":"","parse-names":false,"suffix":""},{"dropping-particle":"","family":"Wang","given":"Hongrong","non-dropping-particle":"","parse-names":false,"suffix":""},{"dropping-particle":"","family":"Wu","given":"Duanqin","non-dropping-particle":"","parse-names":false,"suffix":""},{"dropping-particle":"","family":"Yu","given":"Lihuai","non-dropping-particle":"","parse-names":false,"suffix":""},{"dropping-particle":"","family":"Wang","given":"Min","non-dropping-particle":"","parse-names":false,"suffix":""},{"dropping-particle":"","family":"Zhou","given":"Chuanshe","non-dropping-particle":"","parse-names":false,"suffix":""},{"dropping-particle":"","family":"Jiao","given":"Jinzhen","non-dropping-particle":"","parse-names":false,"suffix":""}],"container-title":"Animal Nutrition","id":"ITEM-1","issue":"3","issued":{"date-parts":[["2021","9","1"]]},"page":"688-694","publisher":"KeAi Communications Co.","title":"Substitution of ramie (Boehmeria nivea) for alfalfa in improving the carcass and meat quality of Liuyang Black goats","type":"article-journal","volume":"7"},"uris":["http://www.mendeley.com/documents/?uuid=a5bc3961-bbf3-3e92-8147-8878aa6cc8bb"]}],"mendeley":{"formattedCitation":"(Tang et al., 2021)","plainTextFormattedCitation":"(Tang et al., 2021)","previouslyFormattedCitation":"(Tang et al., 2021)"},"properties":{"noteIndex":0},"schema":"https://github.com/citation-style-language/schema/raw/master/csl-citation.json"}</w:instrText>
      </w:r>
      <w:r w:rsidRPr="00180101">
        <w:fldChar w:fldCharType="separate"/>
      </w:r>
      <w:r w:rsidRPr="00180101">
        <w:t xml:space="preserve">(Tang </w:t>
      </w:r>
      <w:r w:rsidRPr="00180101">
        <w:rPr>
          <w:i/>
          <w:iCs/>
        </w:rPr>
        <w:t>et al</w:t>
      </w:r>
      <w:r w:rsidRPr="00180101">
        <w:t>. 2021)</w:t>
      </w:r>
      <w:r w:rsidRPr="00180101">
        <w:fldChar w:fldCharType="end"/>
      </w:r>
      <w:r w:rsidRPr="00180101">
        <w:t xml:space="preserve">. </w:t>
      </w:r>
      <w:r>
        <w:rPr>
          <w:color w:val="252525"/>
        </w:rPr>
        <w:t xml:space="preserve">These leaves provide the main macronutrient elements needed as forage and contain 16.35% crude protein, 6.36% crude fat, and 13.61% crude fiber </w:t>
      </w:r>
      <w:r w:rsidRPr="00180101">
        <w:rPr>
          <w:lang w:val="id-ID"/>
        </w:rPr>
        <w:t xml:space="preserve"> (Despal </w:t>
      </w:r>
      <w:r w:rsidRPr="00180101">
        <w:rPr>
          <w:i/>
          <w:iCs/>
          <w:lang w:val="id-ID"/>
        </w:rPr>
        <w:t>et al</w:t>
      </w:r>
      <w:r w:rsidRPr="00180101">
        <w:rPr>
          <w:lang w:val="id-ID"/>
        </w:rPr>
        <w:t xml:space="preserve">. 2011 </w:t>
      </w:r>
      <w:r w:rsidR="0075114F">
        <w:rPr>
          <w:lang w:val="en-US"/>
        </w:rPr>
        <w:t>in</w:t>
      </w:r>
      <w:r w:rsidRPr="00180101">
        <w:rPr>
          <w:lang w:val="id-ID"/>
        </w:rPr>
        <w:t xml:space="preserve"> </w:t>
      </w:r>
      <w:r w:rsidRPr="00180101">
        <w:rPr>
          <w:lang w:val="id-ID"/>
        </w:rPr>
        <w:fldChar w:fldCharType="begin" w:fldLock="1"/>
      </w:r>
      <w:r w:rsidRPr="00180101">
        <w:rPr>
          <w:lang w:val="id-ID"/>
        </w:rPr>
        <w:instrText>ADDIN CSL_CITATION {"citationItems":[{"id":"ITEM-1","itemData":{"ISSN":"1411-2027","abstract":"This study was aimed to determine the nutrient quality of the ramie plant (Boehmeria nivea) at various cutting ages. The research was conducted in the Margamulya village RT. 01 RW. 13 Cikandang districts, Garut. The design used was Completely Randomized Design with four (4) treatments and five (5) replications, namely; the treatment of 15-days cutting-age, 30-days cutting-age, 45-days cutting-age, and 60-days cutting-age. The results showed that the cutting age had significant effect (p&lt;0.05) on crude protein, crude fiber, and lignin content of ramie forage. The older cutting age had the decreased crude protein content, while increased the crude fiber and lignin content. The best cutting age of ramie plant as forage for optimal nutrients quality was 30 days.","author":[{"dropping-particle":"","family":"Suryanah","given":"Sari","non-dropping-particle":"","parse-names":false,"suffix":""},{"dropping-particle":"","family":"Rochana","given":"Ana","non-dropping-particle":"","parse-names":false,"suffix":""},{"dropping-particle":"","family":"Susilawati","given":"Iin","non-dropping-particle":"","parse-names":false,"suffix":""},{"dropping-particle":"","family":"Indiriani","given":"Nyimas Popi","non-dropping-particle":"","parse-names":false,"suffix":""}],"container-title":"Animal Production","id":"ITEM-1","issue":"2","issued":{"date-parts":[["2018"]]},"page":"111-118","title":"Ramie (Boehmeria nivea) Plant Nutrient Quality as Feed Forage at Various Cutting Ages","type":"article-journal","volume":"19"},"uris":["http://www.mendeley.com/documents/?uuid=e54c3f13-73b9-3a83-aae1-c16fa0a4ee6f"]}],"mendeley":{"formattedCitation":"(Suryanah et al., 2018)","manualFormatting":"Suryanah et al., 2018)","plainTextFormattedCitation":"(Suryanah et al., 2018)","previouslyFormattedCitation":"(Suryanah et al., 2018)"},"properties":{"noteIndex":0},"schema":"https://github.com/citation-style-language/schema/raw/master/csl-citation.json"}</w:instrText>
      </w:r>
      <w:r w:rsidRPr="00180101">
        <w:rPr>
          <w:lang w:val="id-ID"/>
        </w:rPr>
        <w:fldChar w:fldCharType="separate"/>
      </w:r>
      <w:r w:rsidRPr="00180101">
        <w:rPr>
          <w:lang w:val="id-ID"/>
        </w:rPr>
        <w:t xml:space="preserve">Suryanah </w:t>
      </w:r>
      <w:r w:rsidRPr="00180101">
        <w:rPr>
          <w:i/>
          <w:iCs/>
          <w:lang w:val="id-ID"/>
        </w:rPr>
        <w:t>et al</w:t>
      </w:r>
      <w:r w:rsidRPr="00180101">
        <w:rPr>
          <w:lang w:val="id-ID"/>
        </w:rPr>
        <w:t>. 2018)</w:t>
      </w:r>
      <w:r w:rsidRPr="00180101">
        <w:fldChar w:fldCharType="end"/>
      </w:r>
      <w:r>
        <w:t xml:space="preserve">. </w:t>
      </w:r>
      <w:r>
        <w:rPr>
          <w:color w:val="252525"/>
        </w:rPr>
        <w:t xml:space="preserve">Apart from that, </w:t>
      </w:r>
      <w:r w:rsidR="00311BAD" w:rsidRPr="00311BAD">
        <w:rPr>
          <w:color w:val="252525"/>
        </w:rPr>
        <w:t>ramie</w:t>
      </w:r>
      <w:r>
        <w:rPr>
          <w:color w:val="252525"/>
        </w:rPr>
        <w:t xml:space="preserve"> plants are quite easy to cultivate; they can be planted in monoculture or mixed cropping with other plants </w:t>
      </w:r>
      <w:r w:rsidRPr="00180101">
        <w:rPr>
          <w:lang w:val="id-ID"/>
        </w:rPr>
        <w:t xml:space="preserve"> </w:t>
      </w:r>
      <w:r w:rsidRPr="00180101">
        <w:rPr>
          <w:lang w:val="id-ID"/>
        </w:rPr>
        <w:fldChar w:fldCharType="begin" w:fldLock="1"/>
      </w:r>
      <w:r w:rsidRPr="00180101">
        <w:rPr>
          <w:lang w:val="id-ID"/>
        </w:rPr>
        <w:instrText>ADDIN CSL_CITATION {"citationItems":[{"id":"ITEM-1","itemData":{"DOI":"10.1016/j.indcrop.2019.05.029","ISSN":"09266690","abstract":"World population growth has increased the demand for food and shelter, thus threatening environmental sustainability and expanding the gap between resource availability and the ability to meet human needs. Humans are fulfilling their needs by depleting natural resources. Currently, exploring plant species that can fulfill the life requirements of both humans and animals without degrading natural resources has become a major challenge. Therefore, research on underutilized crops is of high interest among plant scientists. Ramie, an ancient plant with a long history, is being researched because of its vigorous growth, high nutritional value and multipurpose applications in Textiles, livestock feed, environmental conservation and medicine. It can be cultivated in versatile conditions including tropical, subtropical and temperate regions. The present review article provides a detailed discussion on the multipurpose utilization and nutritional importance of ramie as well as potential applications and constraints, and the outlook for the future.","author":[{"dropping-particle":"","family":"Rehman","given":"Muzammal","non-dropping-particle":"","parse-names":false,"suffix":""},{"dropping-particle":"","family":"Gang","given":"Deng","non-dropping-particle":"","parse-names":false,"suffix":""},{"dropping-particle":"","family":"Liu","given":"Qiqing","non-dropping-particle":"","parse-names":false,"suffix":""},{"dropping-particle":"","family":"Chen","given":"Yinglong","non-dropping-particle":"","parse-names":false,"suffix":""},{"dropping-particle":"","family":"Wang","given":"Bo","non-dropping-particle":"","parse-names":false,"suffix":""},{"dropping-particle":"","family":"Peng","given":"Dingxiang","non-dropping-particle":"","parse-names":false,"suffix":""},{"dropping-particle":"","family":"Liu","given":"Lijun","non-dropping-particle":"","parse-names":false,"suffix":""}],"container-title":"Industrial Crops and Products","id":"ITEM-1","issued":{"date-parts":[["2019","10","1"]]},"page":"300-307","publisher":"Elsevier B.V.","title":"Ramie, a multipurpose crop: potential applications, constraints and improvement strategies","type":"article","volume":"137"},"uris":["http://www.mendeley.com/documents/?uuid=328341f5-6f2f-3506-8acc-ce97794b8697"]}],"mendeley":{"formattedCitation":"(Rehman et al., 2019)","plainTextFormattedCitation":"(Rehman et al., 2019)","previouslyFormattedCitation":"(Rehman et al., 2019)"},"properties":{"noteIndex":0},"schema":"https://github.com/citation-style-language/schema/raw/master/csl-citation.json"}</w:instrText>
      </w:r>
      <w:r w:rsidRPr="00180101">
        <w:rPr>
          <w:lang w:val="id-ID"/>
        </w:rPr>
        <w:fldChar w:fldCharType="separate"/>
      </w:r>
      <w:r w:rsidRPr="00180101">
        <w:rPr>
          <w:lang w:val="id-ID"/>
        </w:rPr>
        <w:t xml:space="preserve">(Rehman </w:t>
      </w:r>
      <w:r w:rsidRPr="00180101">
        <w:rPr>
          <w:i/>
          <w:iCs/>
          <w:lang w:val="id-ID"/>
        </w:rPr>
        <w:t>et al</w:t>
      </w:r>
      <w:r w:rsidRPr="00180101">
        <w:rPr>
          <w:lang w:val="id-ID"/>
        </w:rPr>
        <w:t>. 2019)</w:t>
      </w:r>
      <w:r w:rsidRPr="00180101">
        <w:fldChar w:fldCharType="end"/>
      </w:r>
      <w:r>
        <w:t xml:space="preserve">. </w:t>
      </w:r>
      <w:r>
        <w:rPr>
          <w:color w:val="252525"/>
        </w:rPr>
        <w:t xml:space="preserve">According to </w:t>
      </w:r>
      <w:r w:rsidRPr="00180101">
        <w:fldChar w:fldCharType="begin" w:fldLock="1"/>
      </w:r>
      <w:r w:rsidRPr="00180101">
        <w:instrText>ADDIN CSL_CITATION {"citationItems":[{"id":"ITEM-1","itemData":{"DOI":"10.32502/jd.v4i1.2212","ISSN":"25287397","abstract":"Kismis nanas merupakan salah satu teknik pengolahan buah nanas segar agar lebih awet dan memiliki rasa yang lebih enak. Kismis nanas dapat dibuat dengan membentuk irisan kecil buah nanas, kemudian dikeringkan dengan pengeringan oven. Penambahan gula pada kismis nanas dimaksudkan sebagai bahan pengawet dan melindungi ester-ester yang mudah menguap sehingga cita rasa dari kismis dapat dipertahankan serta untuk mengurangi rasa asam. Natrium bisulfit merupakan bahan pengawet yang terdiri dari sulfit, bahan pengawet ini banyak digunakan untuk pengawetan bahan makanan nabati. Sulfit berfungi untuk mencegah browning dan mempunyai sifat anti septik.Penelitian ini dilakukan untuk mengetahui pengaruh konsentrasi gula dan natrium bisulfit terhadap kadar vitamin C, kadar gula, dan kadar air pada kismis nanas sesuai dengan Standar Nasional Indonesia (SNI). Pada proses pembuatan kismis nanas sebaiknya menggunakan konsentrasi gula 4% dan konsentrasi natrium bisulfit 0,25%. Dari gabungan kedua perlakuan ini akan diperoleh kadar vitamin C sebesar 23,41 mg/100gram, kadar gula 15,09%, dan kadar air 18,22%.Kata Kunci : Kismis nanas, natrium bisulfit, kadar gula, kadar vitamin C, kadar   air","author":[{"dropping-particle":"","family":"Rifdah","given":"Rifdah -","non-dropping-particle":"","parse-names":false,"suffix":""}],"container-title":"Jurnal Distilasi","id":"ITEM-1","issue":"1","issued":{"date-parts":[["2020"]]},"page":"31","title":"Pengaruh Konsentrasi Gula Dan Natrium Bisulfit Terhadap Kualitas Kismis Nanas","type":"article-journal","volume":"4"},"uris":["http://www.mendeley.com/documents/?uuid=e3482dba-777c-41a1-a381-88e90f97bdd1"]}],"mendeley":{"formattedCitation":"(Rifdah, 2020)","manualFormatting":"Rifdah (2020)","plainTextFormattedCitation":"(Rifdah, 2020)","previouslyFormattedCitation":"(Rifdah, 2020)"},"properties":{"noteIndex":0},"schema":"https://github.com/citation-style-language/schema/raw/master/csl-citation.json"}</w:instrText>
      </w:r>
      <w:r w:rsidRPr="00180101">
        <w:fldChar w:fldCharType="separate"/>
      </w:r>
      <w:r w:rsidRPr="00180101">
        <w:t>Rifdah (2020)</w:t>
      </w:r>
      <w:r w:rsidRPr="00180101">
        <w:fldChar w:fldCharType="end"/>
      </w:r>
      <w:r w:rsidRPr="00180101">
        <w:t>,</w:t>
      </w:r>
      <w:r w:rsidRPr="00180101">
        <w:rPr>
          <w:lang w:val="id-ID"/>
        </w:rPr>
        <w:t xml:space="preserve"> </w:t>
      </w:r>
      <w:r>
        <w:rPr>
          <w:color w:val="252525"/>
        </w:rPr>
        <w:t>ramie plants produce 125 tons per hectare per year, consisting of 40% green leaves (50 tons) and 60% wet stems (75 tons). This large amount of production requires preservation to maintain the nutrients in it. One method of preservation that can be done is by making silage.</w:t>
      </w:r>
    </w:p>
    <w:p w14:paraId="5D832722" w14:textId="77777777" w:rsidR="00311BAD" w:rsidRPr="006C3E10" w:rsidRDefault="001120D5" w:rsidP="00DF6F2F">
      <w:pPr>
        <w:spacing w:line="480" w:lineRule="auto"/>
        <w:ind w:firstLine="720"/>
        <w:rPr>
          <w:color w:val="FF0000"/>
        </w:rPr>
      </w:pPr>
      <w:r>
        <w:rPr>
          <w:color w:val="252525"/>
        </w:rPr>
        <w:t xml:space="preserve">Silage is animal feed from agricultural products that is stored through a fermentation and acidification process </w:t>
      </w:r>
      <w:r w:rsidRPr="00180101">
        <w:rPr>
          <w:lang w:val="id-ID"/>
        </w:rPr>
        <w:fldChar w:fldCharType="begin" w:fldLock="1"/>
      </w:r>
      <w:r w:rsidRPr="00180101">
        <w:rPr>
          <w:lang w:val="id-ID"/>
        </w:rPr>
        <w:instrText>ADDIN CSL_CITATION {"citationItems":[{"id":"ITEM-1","itemData":{"DOI":"10.3168/jds.2018-14630","ISSN":"15253198","PMID":"29685270","author":[{"dropping-particle":"","family":"Grant","given":"Richard J.","non-dropping-particle":"","parse-names":false,"suffix":""},{"dropping-particle":"","family":"Adesogan","given":"Adegbola T.","non-dropping-particle":"","parse-names":false,"suffix":""}],"container-title":"Journal of Dairy Science","id":"ITEM-1","issue":"5","issued":{"date-parts":[["2018","5","1"]]},"page":"3935-3936","publisher":"Elsevier Inc.","title":"Journal of Dairy Science Silage Special Issue: Introduction","type":"article","volume":"101"},"uris":["http://www.mendeley.com/documents/?uuid=3e028fbc-df18-30f9-960f-5b23b6567687"]}],"mendeley":{"formattedCitation":"(Grant &amp; Adesogan, 2018)","plainTextFormattedCitation":"(Grant &amp; Adesogan, 2018)","previouslyFormattedCitation":"(Grant &amp; Adesogan, 2018)"},"properties":{"noteIndex":0},"schema":"https://github.com/citation-style-language/schema/raw/master/csl-citation.json"}</w:instrText>
      </w:r>
      <w:r w:rsidRPr="00180101">
        <w:rPr>
          <w:lang w:val="id-ID"/>
        </w:rPr>
        <w:fldChar w:fldCharType="separate"/>
      </w:r>
      <w:r w:rsidRPr="00180101">
        <w:rPr>
          <w:lang w:val="id-ID"/>
        </w:rPr>
        <w:t>(Grant &amp; Adesogan, 2018)</w:t>
      </w:r>
      <w:r w:rsidRPr="00180101">
        <w:fldChar w:fldCharType="end"/>
      </w:r>
      <w:r w:rsidRPr="00180101">
        <w:rPr>
          <w:lang w:val="id-ID"/>
        </w:rPr>
        <w:t>.</w:t>
      </w:r>
      <w:r w:rsidRPr="00180101">
        <w:t xml:space="preserve"> </w:t>
      </w:r>
      <w:r>
        <w:rPr>
          <w:color w:val="252525"/>
        </w:rPr>
        <w:t xml:space="preserve">Silage is generally made from forage and agricultural waste, which has a water content of 60–70%, through a lactic acid fermentation process that takes place anaerobically in a silo </w:t>
      </w:r>
      <w:r w:rsidRPr="00180101">
        <w:rPr>
          <w:lang w:val="id-ID"/>
        </w:rPr>
        <w:fldChar w:fldCharType="begin" w:fldLock="1"/>
      </w:r>
      <w:r w:rsidRPr="00180101">
        <w:rPr>
          <w:lang w:val="id-ID"/>
        </w:rPr>
        <w:instrText>ADDIN CSL_CITATION {"citationItems":[{"id":"ITEM-1","itemData":{"DOI":"10.24198/jit.v19i2.22840","ISSN":"1410-5659","abstract":"Purpose of this study was to determine the extent from the influence of various additives on the physical and chemical quality of silage of corn straw (Zea mays. L). This study was carried out using the experimental method and Completely Randomized Design (CRD) with 4 treatments consisting of P0: corn straw silage without additives, P1: corn straw silage + 0.5% Heryaki powder, P2: corn straw silage + 5% cassava flour and P3: corn straw silage + 5% sago flour and 5 replications. Data on physical quality (odor, color and texture) were analyzed descriptively while chemical quality data (pH and ammonia were analyzed using ANOVA variance, followed by Duncan's Multiple Distance Test. Giving additives of Heryaki powder, cassava flour and sago flour showed good results on the physical quality of corn straw silage (sour smell, brownish green and texture does not clot) and has a significant effect on honey and ammonia.","author":[{"dropping-particle":"","family":"Banu","given":"Marselinus","non-dropping-particle":"","parse-names":false,"suffix":""},{"dropping-particle":"","family":"Supratman","given":"Hery","non-dropping-particle":"","parse-names":false,"suffix":""},{"dropping-particle":"","family":"Hidayati","given":"Yuli Astuti","non-dropping-particle":"","parse-names":false,"suffix":""}],"container-title":"Jurnal Ilmu Ternak Universitas Padjadjaran","id":"ITEM-1","issue":"2","issued":{"date-parts":[["2019","1","31"]]},"page":"90-96","publisher":"Universitas Padjadjaran","title":"The Effect of Various Additive Materials on Physical Quality and Silase Chemical Rice Chemistry (Zea mays.L)","type":"article-journal","volume":"19"},"uris":["http://www.mendeley.com/documents/?uuid=97d61f3b-b608-30ce-b11a-8d3df8ce7e3b"]}],"mendeley":{"formattedCitation":"(Banu et al., 2019)","plainTextFormattedCitation":"(Banu et al., 2019)","previouslyFormattedCitation":"(Banu et al., 2019)"},"properties":{"noteIndex":0},"schema":"https://github.com/citation-style-language/schema/raw/master/csl-citation.json"}</w:instrText>
      </w:r>
      <w:r w:rsidRPr="00180101">
        <w:rPr>
          <w:lang w:val="id-ID"/>
        </w:rPr>
        <w:fldChar w:fldCharType="separate"/>
      </w:r>
      <w:r w:rsidRPr="00180101">
        <w:rPr>
          <w:lang w:val="id-ID"/>
        </w:rPr>
        <w:t xml:space="preserve">(Banu </w:t>
      </w:r>
      <w:r w:rsidRPr="00180101">
        <w:rPr>
          <w:i/>
          <w:iCs/>
          <w:lang w:val="id-ID"/>
        </w:rPr>
        <w:t>et al</w:t>
      </w:r>
      <w:r w:rsidRPr="00180101">
        <w:rPr>
          <w:lang w:val="id-ID"/>
        </w:rPr>
        <w:t>. 2019)</w:t>
      </w:r>
      <w:r w:rsidRPr="00180101">
        <w:fldChar w:fldCharType="end"/>
      </w:r>
      <w:r w:rsidRPr="00180101">
        <w:t xml:space="preserve">. </w:t>
      </w:r>
      <w:r>
        <w:rPr>
          <w:color w:val="252525"/>
        </w:rPr>
        <w:t xml:space="preserve"> Probiotic starters are used in the silage production process to improve </w:t>
      </w:r>
      <w:r>
        <w:rPr>
          <w:color w:val="252525"/>
        </w:rPr>
        <w:lastRenderedPageBreak/>
        <w:t xml:space="preserve">fermentation quality, aerobic stability, and potential animal performance </w:t>
      </w:r>
      <w:r w:rsidR="00311BAD" w:rsidRPr="00180101">
        <w:fldChar w:fldCharType="begin" w:fldLock="1"/>
      </w:r>
      <w:r w:rsidR="00311BAD" w:rsidRPr="00180101">
        <w:instrText>ADDIN CSL_CITATION {"citationItems":[{"id":"ITEM-1","itemData":{"DOI":"10.3168/jds.2017-13839","ISSN":"15253198","PMID":"29685273","abstract":"Additives have been available for enhancing silage preservation for decades. This review covers research studies published since 2000 that have investigated the efficacy of silage additives. The review has been divided into 6 categories of additives: homofermentative lactic acid bacteria (LAB), obligate heterofermentative LAB, combination inoculants containing obligate heterofermentative LAB plus homofermentative LAB, other inoculants, chemicals, and enzymes. The homofermentative LAB rapidly decrease pH and increase lactic acid relative to other fermentation products, although a meta-analysis indicated no reduction in pH in corn, sorghum, and sugarcane silages relative to untreated silages. These additives resulted in higher milk production according to the meta-analysis by mechanisms that are still unclear. Lactobacillus buchneri is the dominant species used in obligate heterofermentative LAB silage additives. It slowly converts lactic acid to acetic acid and 1,2-propanediol during silo storage, improving aerobic stability while having no effect on animal productivity. Current research is focused on finding other species in the Lb. buchneri group capable of producing more rapid improvements in aerobic stability. Combination inoculants aim to provide the aerobic stability benefits of Lb. buchneri with the silage fermentation efficiency and animal productivity benefits of homofermentative LAB. Research indicates that these products are improving aerobic stability, but feeding studies are not yet sufficient to make conclusions about effects on animal performance. Novel non-LAB species have been studied as potential silage inoculants. Streptococcus bovis is a potential starter species within a homofermentative LAB inoculant. Propionibacterium and Bacillus species offer improved aerobic stability in some cases. Some yeast research has focused on inhibiting molds and other detrimental silage microorganisms, whereas other yeast research suggests that it may be possible to apply a direct-fed microbial strain at ensiling, have it survive ensiling, and multiply during feed out. Chemical additives traditionally have fallen in 2 groups. Formic acid causes direct acidification, suppressing clostridia and other undesired bacteria and improving protein preservation during ensiling. On the other hand, sorbic, benzoic, propionic, and acetic acids improve silage aerobic stability at feed out through direct inhibition of yeasts and molds. Current research has focused on …","author":[{"dropping-particle":"","family":"Muck","given":"R. E.","non-dropping-particle":"","parse-names":false,"suffix":""},{"dropping-particle":"","family":"Nadeau","given":"E. M.G.","non-dropping-particle":"","parse-names":false,"suffix":""},{"dropping-particle":"","family":"McAllister","given":"T. A.","non-dropping-particle":"","parse-names":false,"suffix":""},{"dropping-particle":"","family":"Contreras-Govea","given":"F. E.","non-dropping-particle":"","parse-names":false,"suffix":""},{"dropping-particle":"","family":"Santos","given":"M. C.","non-dropping-particle":"","parse-names":false,"suffix":""},{"dropping-particle":"","family":"Kung","given":"L.","non-dropping-particle":"","parse-names":false,"suffix":""}],"container-title":"Journal of Dairy Science","id":"ITEM-1","issue":"5","issued":{"date-parts":[["2018","5","1"]]},"page":"3980-4000","publisher":"Elsevier Inc.","title":"Silage review: Recent advances and future uses of silage additives","type":"article","volume":"101"},"uris":["http://www.mendeley.com/documents/?uuid=9c0dfa1b-9f4b-3e08-a442-4a53e5a31dc3"]}],"mendeley":{"formattedCitation":"(Muck et al., 2018)","plainTextFormattedCitation":"(Muck et al., 2018)","previouslyFormattedCitation":"(Muck et al., 2018)"},"properties":{"noteIndex":0},"schema":"https://github.com/citation-style-language/schema/raw/master/csl-citation.json"}</w:instrText>
      </w:r>
      <w:r w:rsidR="00311BAD" w:rsidRPr="00180101">
        <w:fldChar w:fldCharType="separate"/>
      </w:r>
      <w:r w:rsidR="00311BAD" w:rsidRPr="00180101">
        <w:t xml:space="preserve">(Muck </w:t>
      </w:r>
      <w:r w:rsidR="00311BAD" w:rsidRPr="00180101">
        <w:rPr>
          <w:i/>
          <w:iCs/>
        </w:rPr>
        <w:t>et al</w:t>
      </w:r>
      <w:r w:rsidR="00311BAD" w:rsidRPr="00180101">
        <w:t>. 2018)</w:t>
      </w:r>
      <w:r w:rsidR="00311BAD" w:rsidRPr="00180101">
        <w:fldChar w:fldCharType="end"/>
      </w:r>
      <w:r w:rsidR="00311BAD" w:rsidRPr="00180101">
        <w:t xml:space="preserve">. </w:t>
      </w:r>
      <w:r>
        <w:rPr>
          <w:color w:val="252525"/>
        </w:rPr>
        <w:t xml:space="preserve">The ensiling process involving LAB such as </w:t>
      </w:r>
      <w:r w:rsidRPr="00311BAD">
        <w:rPr>
          <w:i/>
          <w:iCs/>
          <w:color w:val="252525"/>
        </w:rPr>
        <w:t>Lactobacillus, Bifidobacterium, Saccharomyces, Streptococcus, Enterococcus, Escherichia</w:t>
      </w:r>
      <w:r>
        <w:rPr>
          <w:color w:val="252525"/>
        </w:rPr>
        <w:t xml:space="preserve">, and </w:t>
      </w:r>
      <w:r w:rsidRPr="00311BAD">
        <w:rPr>
          <w:i/>
          <w:iCs/>
          <w:color w:val="252525"/>
        </w:rPr>
        <w:t>Bacillus</w:t>
      </w:r>
      <w:r>
        <w:rPr>
          <w:color w:val="252525"/>
        </w:rPr>
        <w:t xml:space="preserve"> </w:t>
      </w:r>
      <w:r w:rsidR="00311BAD" w:rsidRPr="00180101">
        <w:rPr>
          <w:lang w:val="id-ID"/>
        </w:rPr>
        <w:fldChar w:fldCharType="begin" w:fldLock="1"/>
      </w:r>
      <w:r w:rsidR="00311BAD" w:rsidRPr="00180101">
        <w:rPr>
          <w:lang w:val="id-ID"/>
        </w:rPr>
        <w:instrText>ADDIN CSL_CITATION {"citationItems":[{"id":"ITEM-1","itemData":{"DOI":"10.3390/nu13124446","ISSN":"20726643","PMID":"34960001","abstract":"Kombucha is a fermented tea made from a Symbiotic Culture of Bacteria and Yeast (SCOBY) with a long history of use as a health tonic. It is likely that most health benefits come from the tea and fermentation metabolites from specific microbial communities. Despite its growing importance as a functional health drink, the microbial ecosystem present in kombucha has not been fully documented. To characterize the microbial composition and biochemical properties of ‘The Good Brew’ original base kombucha, we used metagenomics amplicon (16S rRNA and ITS) sequencing to identify the microbial communities at the taxonomic level. We identified 34 genera with 200 microbial species yet described in kombucha. The dominance of organic acid producing microorganisms Acetobacter, Komagataeibacter and Starmerella are healthy for the human gut and their glucose metabolising activities have a putative role in preventing conditions such as diabetes and obesity. Kombucha contains high protein (3.31 µg/mL), high phenolic content (290.4 mg/100 mL) and low sugars (glucose: 1.87 g/L; sucrose 1.11 g/L; fructose: 0.05 g/L) as compared to green tea. The broad microbial diversity with proven health benefits for the human gut suggests kombucha is a powerful probiotic. These findings are important to improve the commercial value of kombucha and uncover the immense prospects for health benefits.","author":[{"dropping-particle":"","family":"Kaashyap","given":"Mayank","non-dropping-particle":"","parse-names":false,"suffix":""},{"dropping-particle":"","family":"Cohen","given":"Marc","non-dropping-particle":"","parse-names":false,"suffix":""},{"dropping-particle":"","family":"Mantri","given":"Nitin","non-dropping-particle":"","parse-names":false,"suffix":""}],"container-title":"Nutrients","id":"ITEM-1","issue":"12","issued":{"date-parts":[["2021","12","1"]]},"publisher":"MDPI","title":"Microbial diversity and characteristics of kombucha as revealed by metagenomic and physicochemical analysis","type":"article-journal","volume":"13"},"uris":["http://www.mendeley.com/documents/?uuid=911442fa-5479-38c0-8810-21c95e59e8a6"]}],"mendeley":{"formattedCitation":"(Kaashyap et al., 2021)","plainTextFormattedCitation":"(Kaashyap et al., 2021)","previouslyFormattedCitation":"(Kaashyap et al., 2021)"},"properties":{"noteIndex":0},"schema":"https://github.com/citation-style-language/schema/raw/master/csl-citation.json"}</w:instrText>
      </w:r>
      <w:r w:rsidR="00311BAD" w:rsidRPr="00180101">
        <w:rPr>
          <w:lang w:val="id-ID"/>
        </w:rPr>
        <w:fldChar w:fldCharType="separate"/>
      </w:r>
      <w:r w:rsidR="00311BAD" w:rsidRPr="00180101">
        <w:rPr>
          <w:lang w:val="id-ID"/>
        </w:rPr>
        <w:t xml:space="preserve">(Kaashyap </w:t>
      </w:r>
      <w:r w:rsidR="00311BAD" w:rsidRPr="00180101">
        <w:rPr>
          <w:i/>
          <w:iCs/>
          <w:lang w:val="id-ID"/>
        </w:rPr>
        <w:t>et al</w:t>
      </w:r>
      <w:r w:rsidR="00311BAD" w:rsidRPr="00180101">
        <w:rPr>
          <w:lang w:val="id-ID"/>
        </w:rPr>
        <w:t>. 2021)</w:t>
      </w:r>
      <w:r w:rsidR="00311BAD" w:rsidRPr="00180101">
        <w:fldChar w:fldCharType="end"/>
      </w:r>
      <w:r w:rsidR="00311BAD">
        <w:t xml:space="preserve"> </w:t>
      </w:r>
      <w:r>
        <w:rPr>
          <w:color w:val="252525"/>
        </w:rPr>
        <w:t xml:space="preserve">is known to be able to improve the quality of fermentation and preserve forage nutrients, thereby producing silage as feed with high nutritional value </w:t>
      </w:r>
      <w:r w:rsidR="00311BAD" w:rsidRPr="00180101">
        <w:rPr>
          <w:lang w:val="id-ID"/>
        </w:rPr>
        <w:fldChar w:fldCharType="begin" w:fldLock="1"/>
      </w:r>
      <w:r w:rsidR="00311BAD" w:rsidRPr="00180101">
        <w:rPr>
          <w:lang w:val="id-ID"/>
        </w:rPr>
        <w:instrText>ADDIN CSL_CITATION {"citationItems":[{"id":"ITEM-1","itemData":{"DOI":"10.1016/j.aninu.2022.06.010","ISSN":"24056383","abstract":"A feeding experiment was conducted to determine the effects of inoculating alfalfa silage with a ferulic acid esterase-producing inoculum on feed digestibility, rumen fermentation, antioxidant, and immunity status of lactating dairy goats. Twenty dairy goats were distributed into 2 experimental groups consisting of control diet (Lp MTD/1, including Lactobacillus plantarum MTD/1 inoculated silage) against diet containing silage treated with ferulic acid esterase-producing L. plantarum A1 (Lp A1). Alfalfa silage inoculated with a ferulic acid esterase-producing Lp A1 had better fermentation quality than the Lp MTD/1 inoculation. The application of Lp A1 improved silage antioxidant capacity as indicated by greater total antioxidant capacity (T-AOC), superoxide dismutase (SOD) and glutathion peroxidase (GSH-Px) activities in Lp A1 treated silage versus Lp MTD/1 treatment. Compared with Lp MTD/1 treated group, inoculation of silage with Lp A1 increased apparent total tract digestibility of dietary dry matter, organic matter and crude protein, and ruminal concentrations of total volatile fatty acids, acetate, propionate and isobutyrate as well. The results of current study also demonstrated improved antioxidant capacity and immune performance of dairy goats with Lp A1 inoculation. Feeding Lp A1-treated silage increased dairy goats' serum antioxidase activity, such as T-AOC, SOD, GSH-Px and catalase, and the serum concentration of immunoglobulin A, while decreased tumor necrosis factor α, interleukin (IL)-2 and IL-6. In addition, compared with Lp MTD/1, diet containing alfalfa silage inoculated with Lp A1 endowed dairy goats' milk with greater fat and protein contents, improved dairy goat milk quality without affecting feed efficiency.","author":[{"dropping-particle":"","family":"Li","given":"Fuhou","non-dropping-particle":"","parse-names":false,"suffix":""},{"dropping-particle":"","family":"Zhang","given":"Baibing","non-dropping-particle":"","parse-names":false,"suffix":""},{"dropping-particle":"","family":"Zhang","given":"Yixin","non-dropping-particle":"","parse-names":false,"suffix":""},{"dropping-particle":"","family":"Zhang","given":"Xia","non-dropping-particle":"","parse-names":false,"suffix":""},{"dropping-particle":"","family":"Usman","given":"Samaila","non-dropping-particle":"","parse-names":false,"suffix":""},{"dropping-particle":"","family":"Ding","given":"Zitong","non-dropping-particle":"","parse-names":false,"suffix":""},{"dropping-particle":"","family":"Hao","given":"Lizhuang","non-dropping-particle":"","parse-names":false,"suffix":""},{"dropping-particle":"","family":"Guo","given":"Xusheng","non-dropping-particle":"","parse-names":false,"suffix":""}],"container-title":"Animal Nutrition","id":"ITEM-1","issued":{"date-parts":[["2022","12","1"]]},"page":"38-47","publisher":"KeAi Communications Co.","title":"Probiotic effect of ferulic acid esterase-producing Lactobacillus plantarum inoculated alfalfa silage on digestion, antioxidant, and immunity status of lactating dairy goats","type":"article-journal","volume":"11"},"uris":["http://www.mendeley.com/documents/?uuid=ad2d615d-e7a8-36b3-b05e-709e1a1d5c2d"]}],"mendeley":{"formattedCitation":"(Li et al., 2022)","plainTextFormattedCitation":"(Li et al., 2022)","previouslyFormattedCitation":"(Li et al., 2022)"},"properties":{"noteIndex":0},"schema":"https://github.com/citation-style-language/schema/raw/master/csl-citation.json"}</w:instrText>
      </w:r>
      <w:r w:rsidR="00311BAD" w:rsidRPr="00180101">
        <w:rPr>
          <w:lang w:val="id-ID"/>
        </w:rPr>
        <w:fldChar w:fldCharType="separate"/>
      </w:r>
      <w:r w:rsidR="00311BAD" w:rsidRPr="00180101">
        <w:rPr>
          <w:lang w:val="id-ID"/>
        </w:rPr>
        <w:t xml:space="preserve">(Li </w:t>
      </w:r>
      <w:r w:rsidR="00311BAD" w:rsidRPr="00180101">
        <w:rPr>
          <w:i/>
          <w:iCs/>
          <w:lang w:val="id-ID"/>
        </w:rPr>
        <w:t>et al</w:t>
      </w:r>
      <w:r w:rsidR="00311BAD" w:rsidRPr="00180101">
        <w:rPr>
          <w:lang w:val="id-ID"/>
        </w:rPr>
        <w:t>. 2022)</w:t>
      </w:r>
      <w:r w:rsidR="00311BAD" w:rsidRPr="00180101">
        <w:fldChar w:fldCharType="end"/>
      </w:r>
      <w:r w:rsidR="00311BAD" w:rsidRPr="00180101">
        <w:t>.</w:t>
      </w:r>
      <w:r w:rsidR="00311BAD" w:rsidRPr="00180101">
        <w:rPr>
          <w:lang w:val="id-ID"/>
        </w:rPr>
        <w:t xml:space="preserve"> </w:t>
      </w:r>
    </w:p>
    <w:p w14:paraId="4A0EE4C5" w14:textId="46F0A6ED" w:rsidR="001120D5" w:rsidRDefault="001120D5" w:rsidP="00DF6F2F">
      <w:pPr>
        <w:pStyle w:val="NormalWeb"/>
        <w:spacing w:before="0" w:beforeAutospacing="0" w:after="0" w:afterAutospacing="0" w:line="480" w:lineRule="auto"/>
        <w:ind w:firstLine="720"/>
        <w:jc w:val="both"/>
        <w:rPr>
          <w:color w:val="252525"/>
        </w:rPr>
      </w:pPr>
      <w:r>
        <w:rPr>
          <w:color w:val="252525"/>
        </w:rPr>
        <w:t>Through the ensiling process, forage can be stored, and the harvesting process does not depend on the weather. This research was carried out by adding a new probiotic starter that had never been used before. Thus, the aim of this study was to determine the effect of aerobic and re-ensiling exposure from the addition of the probiotic on silage quality and palatability levels in sheep. The resulting data can be used as a source for the latest formulation of animal feed silage starter.</w:t>
      </w:r>
    </w:p>
    <w:p w14:paraId="13906C2D" w14:textId="77777777" w:rsidR="001C1E24" w:rsidRDefault="001C1E24" w:rsidP="00A51F09">
      <w:pPr>
        <w:rPr>
          <w:b/>
          <w:bCs/>
        </w:rPr>
      </w:pPr>
    </w:p>
    <w:p w14:paraId="66792E6C" w14:textId="7806D204" w:rsidR="001C1E24" w:rsidRPr="008638E6" w:rsidRDefault="00A51F09" w:rsidP="00A51F09">
      <w:pPr>
        <w:rPr>
          <w:b/>
          <w:bCs/>
        </w:rPr>
      </w:pPr>
      <w:r w:rsidRPr="00A51F09">
        <w:rPr>
          <w:b/>
          <w:bCs/>
        </w:rPr>
        <w:t>Materials and Methods</w:t>
      </w:r>
    </w:p>
    <w:p w14:paraId="257BAD3C" w14:textId="2692BD69" w:rsidR="00A51F09" w:rsidRPr="00A51F09" w:rsidRDefault="00A51F09" w:rsidP="00A51F09">
      <w:pPr>
        <w:rPr>
          <w:b/>
          <w:bCs/>
          <w:lang w:val="id-ID"/>
        </w:rPr>
      </w:pPr>
      <w:r w:rsidRPr="00A51F09">
        <w:rPr>
          <w:b/>
          <w:bCs/>
          <w:lang w:val="id-ID"/>
        </w:rPr>
        <w:t>Experimental details and treatments</w:t>
      </w:r>
    </w:p>
    <w:p w14:paraId="638E2007" w14:textId="7DC4E12E" w:rsidR="00311BAD" w:rsidRDefault="00A51F09" w:rsidP="00DF6F2F">
      <w:pPr>
        <w:pStyle w:val="NormalWeb"/>
        <w:spacing w:before="0" w:beforeAutospacing="0" w:after="0" w:afterAutospacing="0" w:line="480" w:lineRule="auto"/>
        <w:jc w:val="both"/>
        <w:rPr>
          <w:color w:val="252525"/>
        </w:rPr>
      </w:pPr>
      <w:r w:rsidRPr="00A51F09">
        <w:rPr>
          <w:b/>
          <w:bCs/>
        </w:rPr>
        <w:t xml:space="preserve">Experimental material: </w:t>
      </w:r>
      <w:r w:rsidR="00311BAD">
        <w:rPr>
          <w:color w:val="252525"/>
        </w:rPr>
        <w:t xml:space="preserve">The research was carried out at the Center of Development Ramie (CDR) Laboratory, Center for Bioprospecting Studies on Natural Fibers and Biological Resources, Padjadjaran University, Bandung, during June–December 2023. </w:t>
      </w:r>
      <w:r w:rsidR="00311BAD" w:rsidRPr="00311BAD">
        <w:rPr>
          <w:color w:val="252525"/>
        </w:rPr>
        <w:t>Ramie</w:t>
      </w:r>
      <w:r w:rsidR="00311BAD">
        <w:rPr>
          <w:color w:val="252525"/>
        </w:rPr>
        <w:t xml:space="preserve"> leaves were obtained from </w:t>
      </w:r>
      <w:r w:rsidR="00311BAD" w:rsidRPr="00311BAD">
        <w:rPr>
          <w:color w:val="252525"/>
        </w:rPr>
        <w:t>ramie</w:t>
      </w:r>
      <w:r w:rsidR="00311BAD">
        <w:rPr>
          <w:color w:val="252525"/>
        </w:rPr>
        <w:t xml:space="preserve"> plantations owned by PT. Rajantara, located in Pajagan Village, Cisitu District, Sumedang, West Java. The </w:t>
      </w:r>
      <w:r w:rsidR="00311BAD" w:rsidRPr="00311BAD">
        <w:rPr>
          <w:color w:val="252525"/>
        </w:rPr>
        <w:t>ramie</w:t>
      </w:r>
      <w:r w:rsidR="00311BAD">
        <w:rPr>
          <w:color w:val="252525"/>
        </w:rPr>
        <w:t xml:space="preserve"> leaves used in this research were approximately 2 months old. The leaves are air-dried at room temperature for 2 days until the water content decreases to 60–70%. The dried leaves are then cut into 3-cm pieces. The additives used were molasses and </w:t>
      </w:r>
      <w:r w:rsidR="00E00DF5">
        <w:rPr>
          <w:color w:val="252525"/>
        </w:rPr>
        <w:t>probiotic starter with addition of rice bran and Heriyaki Powder</w:t>
      </w:r>
      <w:r w:rsidR="00311BAD">
        <w:rPr>
          <w:color w:val="252525"/>
        </w:rPr>
        <w:t>, which had been made in previous research.</w:t>
      </w:r>
    </w:p>
    <w:p w14:paraId="05C1A2E7" w14:textId="77777777" w:rsidR="001C1E24" w:rsidRDefault="001C1E24" w:rsidP="00A51F09">
      <w:pPr>
        <w:rPr>
          <w:b/>
          <w:bCs/>
        </w:rPr>
      </w:pPr>
    </w:p>
    <w:p w14:paraId="564E31E2" w14:textId="351E24CC" w:rsidR="001C1E24" w:rsidRPr="00311BAD" w:rsidRDefault="00A51F09" w:rsidP="00DF6F2F">
      <w:pPr>
        <w:pStyle w:val="NormalWeb"/>
        <w:spacing w:line="480" w:lineRule="auto"/>
        <w:jc w:val="both"/>
        <w:rPr>
          <w:color w:val="252525"/>
        </w:rPr>
      </w:pPr>
      <w:r w:rsidRPr="00A51F09">
        <w:rPr>
          <w:b/>
          <w:bCs/>
        </w:rPr>
        <w:lastRenderedPageBreak/>
        <w:t xml:space="preserve">Treatments: </w:t>
      </w:r>
      <w:r w:rsidR="00311BAD">
        <w:rPr>
          <w:color w:val="252525"/>
        </w:rPr>
        <w:t>The treatment composition consisted of Control (ramie leaves + molasses); P1 (</w:t>
      </w:r>
      <w:r w:rsidR="00311BAD" w:rsidRPr="00311BAD">
        <w:rPr>
          <w:color w:val="252525"/>
        </w:rPr>
        <w:t>ramie</w:t>
      </w:r>
      <w:r w:rsidR="00311BAD">
        <w:rPr>
          <w:color w:val="252525"/>
        </w:rPr>
        <w:t xml:space="preserve"> leaves + </w:t>
      </w:r>
      <w:r w:rsidR="00E00DF5">
        <w:rPr>
          <w:color w:val="252525"/>
        </w:rPr>
        <w:t>Probiotic starter with rice bran</w:t>
      </w:r>
      <w:r w:rsidR="00311BAD">
        <w:rPr>
          <w:color w:val="252525"/>
        </w:rPr>
        <w:t>); and P2 (</w:t>
      </w:r>
      <w:r w:rsidR="00311BAD" w:rsidRPr="00311BAD">
        <w:rPr>
          <w:color w:val="252525"/>
        </w:rPr>
        <w:t>ramie</w:t>
      </w:r>
      <w:r w:rsidR="00311BAD">
        <w:rPr>
          <w:color w:val="252525"/>
        </w:rPr>
        <w:t xml:space="preserve"> leaves + </w:t>
      </w:r>
      <w:r w:rsidR="00E00DF5">
        <w:rPr>
          <w:color w:val="252525"/>
        </w:rPr>
        <w:t>Probiotic starter with heriyaki powder</w:t>
      </w:r>
      <w:r w:rsidR="00311BAD">
        <w:rPr>
          <w:color w:val="252525"/>
        </w:rPr>
        <w:t>). The silage is made in a size of 200 grams with the addition of 35 mL of additives at a dose of 3%. The silage was fermented anaerobically in polyethylene plastic measuring 12 x 25 cm at room temperature (25–27 °C) for 14 days. Aerobic stability testing was carried out by exposing the fermented silage to oxygen for 3 days. The silage was placed in polyethylene plastic, which had 24 random holes (0.5 cm) in the plastic. The re-ensiling test is carried out by vacuuming the silage again, which has been given aerobic exposure. The re-ensiling silage is fermented again for 3 days.</w:t>
      </w:r>
    </w:p>
    <w:p w14:paraId="713F03A6" w14:textId="53B7618F" w:rsidR="00A51F09" w:rsidRPr="00A51F09" w:rsidRDefault="00311BAD" w:rsidP="00A51F09">
      <w:pPr>
        <w:rPr>
          <w:b/>
          <w:bCs/>
        </w:rPr>
      </w:pPr>
      <w:r>
        <w:rPr>
          <w:b/>
          <w:bCs/>
        </w:rPr>
        <w:t>Silage Making</w:t>
      </w:r>
    </w:p>
    <w:p w14:paraId="6049D818" w14:textId="26B0F764" w:rsidR="00311BAD" w:rsidRDefault="00311BAD" w:rsidP="00AE408E">
      <w:pPr>
        <w:pStyle w:val="NormalWeb"/>
        <w:spacing w:before="0" w:beforeAutospacing="0" w:after="0" w:afterAutospacing="0" w:line="480" w:lineRule="auto"/>
        <w:ind w:firstLine="720"/>
        <w:jc w:val="both"/>
        <w:rPr>
          <w:color w:val="252525"/>
        </w:rPr>
      </w:pPr>
      <w:r>
        <w:rPr>
          <w:color w:val="252525"/>
        </w:rPr>
        <w:t xml:space="preserve">The dried ramie leaves were cut into 3 cm pieces and then weighed 200 grams. Molasses additives, </w:t>
      </w:r>
      <w:r w:rsidR="00E00DF5">
        <w:rPr>
          <w:color w:val="252525"/>
        </w:rPr>
        <w:t xml:space="preserve">Probiotic starter with rice bran </w:t>
      </w:r>
      <w:r>
        <w:rPr>
          <w:color w:val="252525"/>
        </w:rPr>
        <w:t xml:space="preserve"> and </w:t>
      </w:r>
      <w:r w:rsidR="00E00DF5">
        <w:rPr>
          <w:color w:val="252525"/>
        </w:rPr>
        <w:t>Probiotic starter with heriyaki powder</w:t>
      </w:r>
      <w:r>
        <w:rPr>
          <w:color w:val="252525"/>
        </w:rPr>
        <w:t xml:space="preserve">, with a dose of 3% were added to 35 mL by spraying evenly using a sprayer. </w:t>
      </w:r>
      <w:r w:rsidR="00DF6F2F" w:rsidRPr="00DF6F2F">
        <w:rPr>
          <w:color w:val="252525"/>
        </w:rPr>
        <w:t>Ramie</w:t>
      </w:r>
      <w:r>
        <w:rPr>
          <w:color w:val="252525"/>
        </w:rPr>
        <w:t xml:space="preserve"> leaves were put in polyethylene plastic, vacuumed using a vacuum sealer (SINBO DZ-280/SE), and fermented for 14 days (Yunianta and Hartati, 2015).</w:t>
      </w:r>
    </w:p>
    <w:p w14:paraId="4F4F2A29" w14:textId="77777777" w:rsidR="00311BAD" w:rsidRPr="00B11C96" w:rsidRDefault="00311BAD" w:rsidP="00B11C96">
      <w:pPr>
        <w:ind w:firstLine="720"/>
      </w:pPr>
    </w:p>
    <w:p w14:paraId="44A7BE67" w14:textId="4480AD2C" w:rsidR="00A51F09" w:rsidRPr="00BB3B7F" w:rsidRDefault="00627A34" w:rsidP="00A51F09">
      <w:pPr>
        <w:rPr>
          <w:b/>
          <w:bCs/>
        </w:rPr>
      </w:pPr>
      <w:r>
        <w:rPr>
          <w:b/>
          <w:bCs/>
        </w:rPr>
        <w:t>Pellets Making</w:t>
      </w:r>
    </w:p>
    <w:p w14:paraId="3D1DFF8D" w14:textId="750E3D7B" w:rsidR="00AE408E" w:rsidRPr="0040767B" w:rsidRDefault="00627A34" w:rsidP="0040767B">
      <w:pPr>
        <w:pStyle w:val="NormalWeb"/>
        <w:spacing w:before="0" w:beforeAutospacing="0" w:after="0" w:afterAutospacing="0" w:line="480" w:lineRule="auto"/>
        <w:ind w:firstLine="720"/>
        <w:jc w:val="both"/>
        <w:rPr>
          <w:color w:val="252525"/>
        </w:rPr>
      </w:pPr>
      <w:r>
        <w:rPr>
          <w:color w:val="252525"/>
        </w:rPr>
        <w:t xml:space="preserve">Ramie leaves silage fermented by </w:t>
      </w:r>
      <w:r w:rsidR="00E00DF5">
        <w:rPr>
          <w:color w:val="252525"/>
        </w:rPr>
        <w:t>Probiotic starter with heriyaki powder</w:t>
      </w:r>
      <w:r>
        <w:rPr>
          <w:color w:val="252525"/>
        </w:rPr>
        <w:t xml:space="preserve"> is made into pellets because it shows the best physical and chemical quality results. The ramie leaves silage was ground using a blender for 1 minute. Molasses is added to as much as 5% of the weight of the silage as an adhesive. The silage is then fed into a molding machine to produce cylindrical silage pellets with a diameter of ± 8 mm. The silage is then dried to reduce the water content. The finished silage pellets were observed in cross-section and longitudinal cross-section macroscopically and microscopically. The data obtained is explained descriptively.</w:t>
      </w:r>
    </w:p>
    <w:p w14:paraId="62FB4EAF" w14:textId="77777777" w:rsidR="00AE408E" w:rsidRDefault="00AE408E" w:rsidP="00627A34">
      <w:pPr>
        <w:rPr>
          <w:b/>
          <w:bCs/>
        </w:rPr>
      </w:pPr>
    </w:p>
    <w:p w14:paraId="3BBF0E4B" w14:textId="2CE4CD40" w:rsidR="00627A34" w:rsidRDefault="00627A34" w:rsidP="00627A34">
      <w:pPr>
        <w:rPr>
          <w:b/>
          <w:bCs/>
        </w:rPr>
      </w:pPr>
      <w:r>
        <w:rPr>
          <w:b/>
          <w:bCs/>
        </w:rPr>
        <w:t>C</w:t>
      </w:r>
      <w:r w:rsidRPr="00627A34">
        <w:rPr>
          <w:b/>
          <w:bCs/>
        </w:rPr>
        <w:t xml:space="preserve">hemical </w:t>
      </w:r>
      <w:r>
        <w:rPr>
          <w:b/>
          <w:bCs/>
        </w:rPr>
        <w:t>Q</w:t>
      </w:r>
      <w:r w:rsidRPr="00627A34">
        <w:rPr>
          <w:b/>
          <w:bCs/>
        </w:rPr>
        <w:t xml:space="preserve">uality </w:t>
      </w:r>
      <w:r>
        <w:rPr>
          <w:b/>
          <w:bCs/>
        </w:rPr>
        <w:t>An</w:t>
      </w:r>
      <w:r w:rsidRPr="00627A34">
        <w:rPr>
          <w:b/>
          <w:bCs/>
        </w:rPr>
        <w:t>alysis</w:t>
      </w:r>
    </w:p>
    <w:p w14:paraId="181D7431" w14:textId="317E7627" w:rsidR="005976F1" w:rsidRPr="00627A34" w:rsidRDefault="00627A34" w:rsidP="00AE408E">
      <w:pPr>
        <w:pStyle w:val="NormalWeb"/>
        <w:spacing w:line="480" w:lineRule="auto"/>
        <w:ind w:firstLine="720"/>
        <w:jc w:val="both"/>
        <w:rPr>
          <w:color w:val="252525"/>
        </w:rPr>
      </w:pPr>
      <w:r>
        <w:rPr>
          <w:color w:val="252525"/>
        </w:rPr>
        <w:t xml:space="preserve">A total of 20 grams of silage was mixed with 180 mL of distilled water and ground with a blender for 1 minute, then filtered through filter paper. The pH of the filtrate was measured with an ATC pH meter (backlight pH-2011). The pH value is recorded after the display shows a stable number </w:t>
      </w:r>
      <w:r w:rsidR="00F256F6">
        <w:t xml:space="preserve">(Xu </w:t>
      </w:r>
      <w:r w:rsidR="00F256F6" w:rsidRPr="00F256F6">
        <w:rPr>
          <w:i/>
          <w:iCs/>
        </w:rPr>
        <w:t>et al.</w:t>
      </w:r>
      <w:r w:rsidR="00F256F6">
        <w:t xml:space="preserve"> 2019). </w:t>
      </w:r>
      <w:r>
        <w:rPr>
          <w:color w:val="252525"/>
        </w:rPr>
        <w:t>The silage quality categories based on pH can be seen in Table 1.</w:t>
      </w:r>
    </w:p>
    <w:p w14:paraId="24A1CA55" w14:textId="77777777" w:rsidR="00627A34" w:rsidRDefault="00627A34" w:rsidP="00627A34">
      <w:pPr>
        <w:rPr>
          <w:b/>
          <w:bCs/>
        </w:rPr>
      </w:pPr>
      <w:bookmarkStart w:id="1" w:name="_Hlk152689666"/>
      <w:r w:rsidRPr="00627A34">
        <w:rPr>
          <w:b/>
          <w:bCs/>
        </w:rPr>
        <w:t>Physical Quality Analysis</w:t>
      </w:r>
    </w:p>
    <w:bookmarkEnd w:id="1"/>
    <w:p w14:paraId="25FBFA80" w14:textId="02CF7A0D" w:rsidR="005976F1" w:rsidRDefault="00627A34" w:rsidP="00DF6F2F">
      <w:pPr>
        <w:pStyle w:val="NormalWeb"/>
        <w:spacing w:before="0" w:beforeAutospacing="0" w:after="0" w:afterAutospacing="0" w:line="480" w:lineRule="auto"/>
        <w:ind w:firstLine="720"/>
        <w:jc w:val="both"/>
      </w:pPr>
      <w:r>
        <w:rPr>
          <w:color w:val="252525"/>
        </w:rPr>
        <w:t xml:space="preserve">The physical quality of the silage is analyzed through organoleptic tests with several parameters, including color, aroma, texture, and the presence of mold. The percentage of fungal presence was calculated by separating the damaged silage and weighing it. The surface appearance of </w:t>
      </w:r>
      <w:r w:rsidR="00DF6F2F" w:rsidRPr="00DF6F2F">
        <w:rPr>
          <w:color w:val="252525"/>
        </w:rPr>
        <w:t>ramie</w:t>
      </w:r>
      <w:r>
        <w:rPr>
          <w:color w:val="252525"/>
        </w:rPr>
        <w:t xml:space="preserve"> leaves was observed using a microscope. The scoring used is based on the assessment method according to </w:t>
      </w:r>
      <w:r w:rsidR="00A51F09" w:rsidRPr="00BB3B7F">
        <w:rPr>
          <w:lang w:val="id-ID"/>
        </w:rPr>
        <w:fldChar w:fldCharType="begin" w:fldLock="1"/>
      </w:r>
      <w:r w:rsidR="00A51F09" w:rsidRPr="00BB3B7F">
        <w:rPr>
          <w:lang w:val="id-ID"/>
        </w:rPr>
        <w:instrText>ADDIN CSL_CITATION {"citationItems":[{"id":"ITEM-1","itemData":{"author":[{"dropping-particle":"","family":"Utomo","given":"Ristianto","non-dropping-particle":"","parse-names":false,"suffix":""},{"dropping-particle":"","family":"Noviandi","given":"Cuk Tri","non-dropping-particle":"","parse-names":false,"suffix":""},{"dropping-particle":"","family":"Astuti","given":"Andriyani","non-dropping-particle":"","parse-names":false,"suffix":""},{"dropping-particle":"","family":"Umami","given":"Nafiatul","non-dropping-particle":"","parse-names":false,"suffix":""}],"container-title":"Simposium Nasional Penelitian dan Pengembangan Peternakan Tropik","id":"ITEM-1","issued":{"date-parts":[["2016"]]},"page":"63-69","title":"Pengaruh penggunaan aditif pada kualitas silase hijauan Sorghum vulgare","type":"paper-conference"},"uris":["http://www.mendeley.com/documents/?uuid=3c680c56-ccfd-3a2b-8720-01087b5f0242"]}],"mendeley":{"formattedCitation":"(Utomo et al., 2016)","manualFormatting":" Utomo et al. (2016)","plainTextFormattedCitation":"(Utomo et al., 2016)","previouslyFormattedCitation":"(Utomo et al., 2016)"},"properties":{"noteIndex":0},"schema":"https://github.com/citation-style-language/schema/raw/master/csl-citation.json"}</w:instrText>
      </w:r>
      <w:r w:rsidR="00A51F09" w:rsidRPr="00BB3B7F">
        <w:rPr>
          <w:lang w:val="id-ID"/>
        </w:rPr>
        <w:fldChar w:fldCharType="separate"/>
      </w:r>
      <w:r w:rsidR="00A51F09" w:rsidRPr="00BB3B7F">
        <w:rPr>
          <w:lang w:val="id-ID"/>
        </w:rPr>
        <w:t xml:space="preserve">Utomo </w:t>
      </w:r>
      <w:r w:rsidR="00F37D33" w:rsidRPr="00BB3B7F">
        <w:rPr>
          <w:i/>
          <w:iCs/>
          <w:lang w:val="id-ID"/>
        </w:rPr>
        <w:t>et al</w:t>
      </w:r>
      <w:r w:rsidR="00A51F09" w:rsidRPr="00BB3B7F">
        <w:rPr>
          <w:lang w:val="id-ID"/>
        </w:rPr>
        <w:t xml:space="preserve">. </w:t>
      </w:r>
      <w:r w:rsidR="00A51F09" w:rsidRPr="00BB3B7F">
        <w:t>(</w:t>
      </w:r>
      <w:r w:rsidR="00A51F09" w:rsidRPr="00BB3B7F">
        <w:rPr>
          <w:lang w:val="id-ID"/>
        </w:rPr>
        <w:t>2016)</w:t>
      </w:r>
      <w:r w:rsidR="00A51F09" w:rsidRPr="00BB3B7F">
        <w:fldChar w:fldCharType="end"/>
      </w:r>
      <w:r w:rsidR="00B11C96">
        <w:t xml:space="preserve"> </w:t>
      </w:r>
      <w:r>
        <w:t>which can be seen in</w:t>
      </w:r>
      <w:r w:rsidR="00B11C96">
        <w:t xml:space="preserve"> </w:t>
      </w:r>
      <w:r>
        <w:t xml:space="preserve">Table </w:t>
      </w:r>
      <w:r w:rsidR="00B11C96">
        <w:t>2.</w:t>
      </w:r>
    </w:p>
    <w:p w14:paraId="49DC7A49" w14:textId="77777777" w:rsidR="00627A34" w:rsidRPr="00627A34" w:rsidRDefault="00627A34" w:rsidP="00627A34">
      <w:pPr>
        <w:pStyle w:val="NormalWeb"/>
        <w:spacing w:before="0" w:beforeAutospacing="0" w:after="0" w:afterAutospacing="0" w:line="360" w:lineRule="auto"/>
        <w:ind w:firstLine="720"/>
        <w:jc w:val="both"/>
        <w:rPr>
          <w:color w:val="252525"/>
        </w:rPr>
      </w:pPr>
    </w:p>
    <w:p w14:paraId="7B8963B2" w14:textId="2626E59D" w:rsidR="00A51F09" w:rsidRPr="00A51F09" w:rsidRDefault="00627A34" w:rsidP="00A51F09">
      <w:pPr>
        <w:rPr>
          <w:b/>
          <w:bCs/>
        </w:rPr>
      </w:pPr>
      <w:r>
        <w:rPr>
          <w:b/>
          <w:bCs/>
        </w:rPr>
        <w:t>Microbiology Analysis</w:t>
      </w:r>
    </w:p>
    <w:p w14:paraId="389C26F2" w14:textId="13AD2918" w:rsidR="00AE408E" w:rsidRPr="00627A34" w:rsidRDefault="00627A34" w:rsidP="0040767B">
      <w:pPr>
        <w:pStyle w:val="NormalWeb"/>
        <w:spacing w:before="0" w:beforeAutospacing="0" w:line="480" w:lineRule="auto"/>
        <w:ind w:firstLine="720"/>
        <w:jc w:val="both"/>
        <w:rPr>
          <w:color w:val="252525"/>
        </w:rPr>
      </w:pPr>
      <w:r>
        <w:rPr>
          <w:color w:val="252525"/>
        </w:rPr>
        <w:t xml:space="preserve">Microbiological analysis was carried out by observing the macroscopic morphology of silage microbes. Bacterial isolation was carried out by grinding 10 grams of silage in 90 mL of distilled water and then filtering the solution using filter paper. Graded dilutions were carried out using 0.9% physiological NaCl. Microbial cultures were made on NA (nutrient agar) media. Microbial counts were carried out using the total plate count method after incubation at 30 °C for 2 days </w:t>
      </w:r>
      <w:r w:rsidR="00A26BF9" w:rsidRPr="00BB3B7F">
        <w:t xml:space="preserve">(Cai </w:t>
      </w:r>
      <w:r w:rsidR="00A26BF9" w:rsidRPr="00BB3B7F">
        <w:rPr>
          <w:i/>
          <w:iCs/>
        </w:rPr>
        <w:t>et al.</w:t>
      </w:r>
      <w:r w:rsidR="00A26BF9" w:rsidRPr="00BB3B7F">
        <w:t xml:space="preserve"> 2020).</w:t>
      </w:r>
      <w:r w:rsidR="002572B9" w:rsidRPr="00BB3B7F">
        <w:t xml:space="preserve"> </w:t>
      </w:r>
      <w:r>
        <w:rPr>
          <w:color w:val="252525"/>
        </w:rPr>
        <w:t>TPC data were analyzed descriptively. Bacterial isolates were then subjected to gram staining for identification.</w:t>
      </w:r>
    </w:p>
    <w:p w14:paraId="72DA4544" w14:textId="77777777" w:rsidR="00FD70BC" w:rsidRDefault="00FD70BC" w:rsidP="00FD70BC">
      <w:pPr>
        <w:rPr>
          <w:b/>
          <w:bCs/>
        </w:rPr>
      </w:pPr>
      <w:r w:rsidRPr="00FD70BC">
        <w:rPr>
          <w:b/>
          <w:bCs/>
        </w:rPr>
        <w:lastRenderedPageBreak/>
        <w:t>Palatability Test</w:t>
      </w:r>
    </w:p>
    <w:p w14:paraId="2BB40164" w14:textId="785B2E2A" w:rsidR="00FD70BC" w:rsidRDefault="00FD70BC" w:rsidP="00DF6F2F">
      <w:pPr>
        <w:pStyle w:val="NormalWeb"/>
        <w:spacing w:line="480" w:lineRule="auto"/>
        <w:ind w:firstLine="720"/>
        <w:jc w:val="both"/>
        <w:rPr>
          <w:lang w:val="id-ID"/>
        </w:rPr>
      </w:pPr>
      <w:r>
        <w:rPr>
          <w:color w:val="252525"/>
        </w:rPr>
        <w:t>The best quality silage was physically and chemically tested for palatability on five garut sheep (</w:t>
      </w:r>
      <w:r w:rsidRPr="00FD70BC">
        <w:rPr>
          <w:i/>
          <w:iCs/>
          <w:color w:val="252525"/>
        </w:rPr>
        <w:t>Ovis aries)</w:t>
      </w:r>
      <w:r>
        <w:rPr>
          <w:color w:val="252525"/>
        </w:rPr>
        <w:t xml:space="preserve"> using the cafeteria method </w:t>
      </w:r>
      <w:r w:rsidR="00A51F09" w:rsidRPr="00A51F09">
        <w:rPr>
          <w:i/>
          <w:iCs/>
        </w:rPr>
        <w:fldChar w:fldCharType="begin" w:fldLock="1"/>
      </w:r>
      <w:r w:rsidR="00A51F09" w:rsidRPr="00A51F09">
        <w:rPr>
          <w:i/>
          <w:iCs/>
        </w:rPr>
        <w:instrText>ADDIN CSL_CITATION {"citationItems":[{"id":"ITEM-1","itemData":{"DOI":"10.24198/jit.v18i2.19461","ISSN":"1410-5659","abstract":"Palatabilitas adalah tingkat kesukaan yang ditunjukkan oleh ternak untuk mengkonsumsi suatu bahan pakan yang diberikan dalam periode tertentu. Tekstur, warna, aroma dan rasa yang disukai ternak menunjukkan bahwa kualitas pakan sangat baik yang berpengaruh terhadap palatabilitas. Penelitian ini dilaksanakan di Laboratorium Nutrisi Ternak Ruminansia dan Kimia Makanan Ternak Fakultas Peternakan Universitas Padjadjaran dan Kelompok Tani Mekar Harapan, Ujung Berung, Bandung. Tujuan penelitian ini adalah untuk mengetahui kualitas fisik dan palatabilitas konsentrat fermentasi dalam ransum kambing perah jenis peranakan ettawa. Materi penelitian adalah konsentrat yang tersusun dari berbagai bahan pakan dengan kandungan lemak kasar dan serat kasar tinggi kemudian konsentrat dibuat fermentasi sebagai perlakuan pertama (P1) dan konsentrat tanpa fermentasi perlakuan kedua (P2) yang masing-masing diulang 5 kali dan pengujian palatabilitas menggunakan 10 ekor kambing peranakan ettawa laktasi 2. Metode statistik menggunakan uji t untuk membandingkan perlakuan mana yang terbaik. Hasil penelitian menunjukkan bahwa konsentrat fermentasi menghasilkan warna gelap, aroma khas fermentasi, dan tekstur agak kering sedangkan tanpa fermentasi warna terang, aroma tidak tajam, dan tekstur agak basah serta tingkatan palatabilitas konsentrat fermentasi lebih disukai dibandingkan dengan yang tidak difermentasi (thitung≥ttabel). Kesimpulan dari penelitian ini adalah Konsentrat fermentasi menghasilkan warna, aroma dan rasa serta palatabilitas yang lebih baik dibandingkan dengan tanpa fermentasi Kata Kunci: kualitas fisik, palatabilitas, konsentrat fermentasi, kambing perah peranakan etawah","author":[{"dropping-particle":"","family":"Christi","given":"Raden Febrianto","non-dropping-particle":"","parse-names":false,"suffix":""}],"container-title":"Jurnal Ilmu Ternak Universitas Padjadjaran","id":"ITEM-1","issue":"2","issued":{"date-parts":[["2019"]]},"page":"121-125","title":"Kualitas Fisik Dan Palatabilitas Konsentrat Fermentasi Dalam Ransum Kambing Perah Peranakan Ettawa","type":"article-journal","volume":"18"},"uris":["http://www.mendeley.com/documents/?uuid=3d8fd25a-9ab7-44b2-935b-6ae228c99943"]}],"mendeley":{"formattedCitation":"(Christi, 2019)","plainTextFormattedCitation":"(Christi, 2019)","previouslyFormattedCitation":"(Christi, 2019)"},"properties":{"noteIndex":0},"schema":"https://github.com/citation-style-language/schema/raw/master/csl-citation.json"}</w:instrText>
      </w:r>
      <w:r w:rsidR="00A51F09" w:rsidRPr="00A51F09">
        <w:rPr>
          <w:i/>
          <w:iCs/>
        </w:rPr>
        <w:fldChar w:fldCharType="separate"/>
      </w:r>
      <w:r w:rsidR="00A51F09" w:rsidRPr="00A51F09">
        <w:rPr>
          <w:iCs/>
        </w:rPr>
        <w:t>(Christi, 2019)</w:t>
      </w:r>
      <w:r w:rsidR="00A51F09" w:rsidRPr="00A51F09">
        <w:fldChar w:fldCharType="end"/>
      </w:r>
      <w:r w:rsidR="00A51F09" w:rsidRPr="00A51F09">
        <w:rPr>
          <w:i/>
          <w:iCs/>
        </w:rPr>
        <w:t xml:space="preserve">. </w:t>
      </w:r>
      <w:r>
        <w:rPr>
          <w:color w:val="252525"/>
        </w:rPr>
        <w:t xml:space="preserve">The palatability test was carried out by comparing </w:t>
      </w:r>
      <w:r w:rsidR="00E668DB">
        <w:rPr>
          <w:color w:val="252525"/>
        </w:rPr>
        <w:t>ramie</w:t>
      </w:r>
      <w:r>
        <w:rPr>
          <w:color w:val="252525"/>
        </w:rPr>
        <w:t xml:space="preserve"> leaf silage with standard feed usually consumed by test animals, namely bandotan grass with a crude protein content of 15.67%, crude fiber of 18.24%, and crude fat of 5.67% </w:t>
      </w:r>
      <w:r w:rsidR="00A51F09" w:rsidRPr="00A51F09">
        <w:fldChar w:fldCharType="begin" w:fldLock="1"/>
      </w:r>
      <w:r w:rsidR="00A51F09" w:rsidRPr="00A51F09">
        <w:instrText>ADDIN CSL_CITATION {"citationItems":[{"id":"ITEM-1","itemData":{"DOI":"10.4314/ahs.v12i2.19","ISSN":"16806905","PMID":"23056028","abstract":"Background: Many plants with antidiabetic properties probably act in part through their content of fibre, vitamins, bioactive or mineral content Objectives: This study investigated the mineral, proximate, phytochemical compositions and hypoglycaemic effect of Commelina africana and Ageratum conyzoides extracts in diabetic rats, and the likely relationship between this property and the mineral, proximate and phytochemical compositions of the plants. Methods: The plants were subjected to mineral, proximate composition and phytochemical analysis. Attempt was made to see (if any) the relationship between the hypoglycaemic effect and the mineral, proximate compositions and phytochemistry of the plants. Alloxan-induced diabetic animals were administered 500mg/kg body weight aqueous extracts of the plants and glibenclamide as the reference hypoglycaemic agent. Results: Aqueous extract of Ageratum conyzoides reduced fasting blood glucose of experimental animals by 39.1% while Commelina africana reduced the same by 78.0%. Alkaloids, cardenolides, saponins, and tannins were detected in both plants. Anthraquinones was absent in C. africana but a trace of it was detected in A. conyzoides. The hypoglycaemic effect of Commelina africana was comparable with the reference hypoglycaemic agent. Ageratum conyzoides showed comparably weaker hypoglycaemic effect than exhibited by reference hypoglycaemic agent. Comparatively, Commelina africana had higher mineral concentrations (except Na) than Ageratum conyzoides. Conclusions: Plants' extracts minerals (magnesium, potassium and iron) and bioactive components (alkaloids and cardenolides) seemingly enhanced their hypoglycaemic effect. Furthermore, these minerals, alkaloids and cardenolides could be helpful in ameliorating complications of diabetes like hypertension and cardiovascular disease.","author":[{"dropping-particle":"","family":"Agunbiade","given":"O. S.","non-dropping-particle":"","parse-names":false,"suffix":""},{"dropping-particle":"","family":"Ojezele","given":"O. M.","non-dropping-particle":"","parse-names":false,"suffix":""},{"dropping-particle":"","family":"Ojezele","given":"J. O.","non-dropping-particle":"","parse-names":false,"suffix":""},{"dropping-particle":"","family":"Ajayi","given":"A. Y.","non-dropping-particle":"","parse-names":false,"suffix":""}],"container-title":"African Health Sciences","id":"ITEM-1","issue":"2","issued":{"date-parts":[["2012"]]},"page":"198-203","title":"Hypoglycaemic activity of commelina Africana and ageratum conyzoides in relation to their mineral composition","type":"article-journal","volume":"12"},"uris":["http://www.mendeley.com/documents/?uuid=5fbd7141-18c2-4906-bc6b-7c365c7ed1ac"]}],"mendeley":{"formattedCitation":"(Agunbiade et al., 2012)","plainTextFormattedCitation":"(Agunbiade et al., 2012)","previouslyFormattedCitation":"(Agunbiade et al., 2012)"},"properties":{"noteIndex":0},"schema":"https://github.com/citation-style-language/schema/raw/master/csl-citation.json"}</w:instrText>
      </w:r>
      <w:r w:rsidR="00A51F09" w:rsidRPr="00A51F09">
        <w:fldChar w:fldCharType="separate"/>
      </w:r>
      <w:r w:rsidR="00A51F09" w:rsidRPr="00A51F09">
        <w:t xml:space="preserve">(Agunbiade </w:t>
      </w:r>
      <w:r w:rsidR="00F37D33" w:rsidRPr="00F37D33">
        <w:rPr>
          <w:i/>
          <w:iCs/>
        </w:rPr>
        <w:t>et al</w:t>
      </w:r>
      <w:r w:rsidR="00CB5660" w:rsidRPr="00CB5660">
        <w:t>.</w:t>
      </w:r>
      <w:r w:rsidR="00A51F09" w:rsidRPr="00A51F09">
        <w:t xml:space="preserve"> 2012)</w:t>
      </w:r>
      <w:r w:rsidR="00A51F09" w:rsidRPr="00A51F09">
        <w:fldChar w:fldCharType="end"/>
      </w:r>
      <w:r w:rsidR="00A51F09" w:rsidRPr="00A51F09">
        <w:t xml:space="preserve">. </w:t>
      </w:r>
      <w:r>
        <w:rPr>
          <w:color w:val="252525"/>
        </w:rPr>
        <w:t>Adjustments were made to the test animals first for 3 days</w:t>
      </w:r>
      <w:r w:rsidR="00A51F09" w:rsidRPr="00A51F09">
        <w:t xml:space="preserve"> </w:t>
      </w:r>
      <w:r w:rsidR="00A51F09" w:rsidRPr="00A51F09">
        <w:fldChar w:fldCharType="begin" w:fldLock="1"/>
      </w:r>
      <w:r w:rsidR="00A51F09" w:rsidRPr="00A51F09">
        <w:instrText>ADDIN CSL_CITATION {"citationItems":[{"id":"ITEM-1","itemData":{"author":[{"dropping-particle":"","family":"Suryaningsih","given":"Yasmini","non-dropping-particle":"","parse-names":false,"suffix":""}],"container-title":"Cermin: Jurnal Penelitian","id":"ITEM-1","issue":"2","issued":{"date-parts":[["2019"]]},"page":"125-141","title":"Kualitas dan Palatabilitas Silase Daun Mangrove PadaTernak Domba Ekor Gemuk","type":"article-journal","volume":"3"},"uris":["http://www.mendeley.com/documents/?uuid=371885c6-48a0-3e02-aeb0-1abeb0bb4676"]}],"mendeley":{"formattedCitation":"(Suryaningsih, 2019)","plainTextFormattedCitation":"(Suryaningsih, 2019)","previouslyFormattedCitation":"(Suryaningsih, 2019)"},"properties":{"noteIndex":0},"schema":"https://github.com/citation-style-language/schema/raw/master/csl-citation.json"}</w:instrText>
      </w:r>
      <w:r w:rsidR="00A51F09" w:rsidRPr="00A51F09">
        <w:fldChar w:fldCharType="separate"/>
      </w:r>
      <w:r w:rsidR="00A51F09" w:rsidRPr="00A51F09">
        <w:t>(Suryaningsih, 2019)</w:t>
      </w:r>
      <w:r w:rsidR="00A51F09" w:rsidRPr="00A51F09">
        <w:fldChar w:fldCharType="end"/>
      </w:r>
      <w:r w:rsidR="00A51F09" w:rsidRPr="00A51F09">
        <w:t xml:space="preserve"> </w:t>
      </w:r>
      <w:r>
        <w:rPr>
          <w:color w:val="252525"/>
        </w:rPr>
        <w:t>and palatability data collection was carried out over a period of 5 days</w:t>
      </w:r>
      <w:r w:rsidR="00A51F09" w:rsidRPr="00A51F09">
        <w:t xml:space="preserve"> </w:t>
      </w:r>
      <w:r w:rsidR="00A51F09" w:rsidRPr="00A51F09">
        <w:fldChar w:fldCharType="begin" w:fldLock="1"/>
      </w:r>
      <w:r w:rsidR="00A51F09" w:rsidRPr="00A51F09">
        <w:instrText>ADDIN CSL_CITATION {"citationItems":[{"id":"ITEM-1","itemData":{"DOI":"10.5194/aab-65-89-2022","ISSN":"23639822","abstract":"The aim of the current study is to evaluate Virginia fanpetals silage based on an apparent digestibility and palatability test performed on six adult rams. Alfalfa silage was used as standard forage for comparison. Virginia fanpetals samples were harvested in the bud-formation stage and alfalfa samples were harvested in the late bud stage. Virginia fanpetals silage had a crude protein (CP) content of 176 kg-1 dry matter (DM), a neutral detergent fiber (NDF) content of 378 kg-1 DM, and a lignin content of 42.8 kg-1 DM. Virginia fanpetals silage had higher acidity (pH of 4.30) and was characterized by intense lactic acid fermentation compared with alfalfa silage (80% vs. 51% of the total acids). The digestibility coefficient of Virginia fanpetals silage was as follows: for DM it was 0.707, for organic matter (OM) it was 0.724, for CP it was 0.861, and for NDF it was 0.609. In comparison with alfalfa silage, Virginia fanpetals silage was characterized by higher apparent digestibility of nutrients, but a significant difference was noted only for CP. The voluntary intake of Virginia fanpetals silage was significantly higher than that of alfalfa silage (1427.4 vs. 954g DM). The greatest differences in voluntary intake were observed 0-2 and 8-12h after feeding. Virginia fanpetals silage had a chemical composition similar to that of alfalfa, but it was characterized by a more desirable fermentation pattern and higher digestibility, and it was more willingly consumed by rams. The present findings indicate that Virginia fanpetals silage can be fed to sheep. Copyright:","author":[{"dropping-particle":"","family":"Purwin","given":"Cezary","non-dropping-particle":"","parse-names":false,"suffix":""},{"dropping-particle":"","family":"Borsuk-Stanulewicz","given":"Marta","non-dropping-particle":"","parse-names":false,"suffix":""},{"dropping-particle":"","family":"Nogalski","given":"Zenon","non-dropping-particle":"","parse-names":false,"suffix":""},{"dropping-particle":"","family":"Baranowska","given":"Maja","non-dropping-particle":"","parse-names":false,"suffix":""},{"dropping-particle":"","family":"Zygmuntowicz","given":"Aleksandra","non-dropping-particle":"","parse-names":false,"suffix":""},{"dropping-particle":"","family":"Michalski","given":"Jacek P.","non-dropping-particle":"","parse-names":false,"suffix":""}],"container-title":"Archives Animal Breeding","id":"ITEM-1","issue":"1","issued":{"date-parts":[["2022"]]},"page":"89-96","title":"Digestibility and palatability of Virginia fanpetals (Sida hermaphrodita R.) silage in sheep","type":"article-journal","volume":"65"},"uris":["http://www.mendeley.com/documents/?uuid=67586951-edb7-42ac-8fa6-2495b184c9d9"]}],"mendeley":{"formattedCitation":"(Purwin et al., 2022)","plainTextFormattedCitation":"(Purwin et al., 2022)","previouslyFormattedCitation":"(Purwin et al., 2022)"},"properties":{"noteIndex":0},"schema":"https://github.com/citation-style-language/schema/raw/master/csl-citation.json"}</w:instrText>
      </w:r>
      <w:r w:rsidR="00A51F09" w:rsidRPr="00A51F09">
        <w:fldChar w:fldCharType="separate"/>
      </w:r>
      <w:r w:rsidR="00A51F09" w:rsidRPr="00A51F09">
        <w:t xml:space="preserve">(Purwin </w:t>
      </w:r>
      <w:r w:rsidR="00F37D33" w:rsidRPr="00F37D33">
        <w:rPr>
          <w:i/>
          <w:iCs/>
        </w:rPr>
        <w:t>et al</w:t>
      </w:r>
      <w:r w:rsidR="00CB5660" w:rsidRPr="00CB5660">
        <w:t>.</w:t>
      </w:r>
      <w:r w:rsidR="00A51F09" w:rsidRPr="00A51F09">
        <w:t xml:space="preserve"> 2022)</w:t>
      </w:r>
      <w:r w:rsidR="00A51F09" w:rsidRPr="00A51F09">
        <w:fldChar w:fldCharType="end"/>
      </w:r>
      <w:r w:rsidR="00A51F09" w:rsidRPr="00A51F09">
        <w:t xml:space="preserve">. </w:t>
      </w:r>
      <w:r>
        <w:rPr>
          <w:color w:val="252525"/>
        </w:rPr>
        <w:t>Each sheep was given an individual pen and given drinking water ad libitum. The amount of feed given based on the dry weight of the silage is 3% of the sheep's body weight</w:t>
      </w:r>
      <w:r w:rsidR="00A51F09" w:rsidRPr="00A51F09">
        <w:rPr>
          <w:lang w:val="id-ID"/>
        </w:rPr>
        <w:t xml:space="preserve"> </w:t>
      </w:r>
      <w:r w:rsidR="00A51F09" w:rsidRPr="00A51F09">
        <w:rPr>
          <w:lang w:val="id-ID"/>
        </w:rPr>
        <w:fldChar w:fldCharType="begin" w:fldLock="1"/>
      </w:r>
      <w:r w:rsidR="00A51F09" w:rsidRPr="00A51F09">
        <w:rPr>
          <w:lang w:val="id-ID"/>
        </w:rPr>
        <w:instrText>ADDIN CSL_CITATION {"citationItems":[{"id":"ITEM-1","itemData":{"author":[{"dropping-particle":"","family":"Kyambu","given":"M. M.","non-dropping-particle":"","parse-names":false,"suffix":""},{"dropping-particle":"","family":"Ikusya1","given":"K. T.","non-dropping-particle":"","parse-names":false,"suffix":""},{"dropping-particle":"","family":"Kimwele","given":"M.B.","non-dropping-particle":"","parse-names":false,"suffix":""}],"container-title":"E. Afri. Agri. For. J","id":"ITEM-1","issue":"1-4","issued":{"date-parts":[["2021"]]},"page":"155-163","title":"DIET SELECTION AND INTAKE BY SHEEP FED IN A CAFETERIA SYSTEM Department of Agricultural and Food Security ,","type":"article-journal","volume":"85"},"uris":["http://www.mendeley.com/documents/?uuid=d4d424b3-36a3-4244-a0eb-0fdb87a2e4fb"]}],"mendeley":{"formattedCitation":"(Kyambu et al., 2021)","plainTextFormattedCitation":"(Kyambu et al., 2021)","previouslyFormattedCitation":"(Kyambu et al., 2021)"},"properties":{"noteIndex":0},"schema":"https://github.com/citation-style-language/schema/raw/master/csl-citation.json"}</w:instrText>
      </w:r>
      <w:r w:rsidR="00A51F09" w:rsidRPr="00A51F09">
        <w:rPr>
          <w:lang w:val="id-ID"/>
        </w:rPr>
        <w:fldChar w:fldCharType="separate"/>
      </w:r>
      <w:r w:rsidR="00A51F09" w:rsidRPr="00A51F09">
        <w:rPr>
          <w:lang w:val="id-ID"/>
        </w:rPr>
        <w:t xml:space="preserve">(Kyambu </w:t>
      </w:r>
      <w:r w:rsidR="00F37D33" w:rsidRPr="00F37D33">
        <w:rPr>
          <w:i/>
          <w:iCs/>
          <w:lang w:val="id-ID"/>
        </w:rPr>
        <w:t>et al</w:t>
      </w:r>
      <w:r w:rsidR="00CB5660" w:rsidRPr="00CB5660">
        <w:rPr>
          <w:lang w:val="id-ID"/>
        </w:rPr>
        <w:t>.</w:t>
      </w:r>
      <w:r w:rsidR="00A51F09" w:rsidRPr="00A51F09">
        <w:rPr>
          <w:lang w:val="id-ID"/>
        </w:rPr>
        <w:t xml:space="preserve"> 2021)</w:t>
      </w:r>
      <w:r w:rsidR="00A51F09" w:rsidRPr="00A51F09">
        <w:fldChar w:fldCharType="end"/>
      </w:r>
      <w:r w:rsidR="00A51F09" w:rsidRPr="00A51F09">
        <w:t xml:space="preserve"> </w:t>
      </w:r>
      <w:r w:rsidRPr="00FD70BC">
        <w:rPr>
          <w:lang w:val="id-ID"/>
        </w:rPr>
        <w:t>with feeding carried out twice every day, namely at 08.30 and 14.30. The level of palatability is known by calculating the average feed consumption.</w:t>
      </w:r>
    </w:p>
    <w:p w14:paraId="0CF3EA8E" w14:textId="503D9D49" w:rsidR="00A51F09" w:rsidRPr="00A51F09" w:rsidRDefault="00FD70BC" w:rsidP="00FD70BC">
      <w:pPr>
        <w:pStyle w:val="NormalWeb"/>
        <w:rPr>
          <w:b/>
          <w:bCs/>
        </w:rPr>
      </w:pPr>
      <w:r>
        <w:rPr>
          <w:b/>
          <w:bCs/>
        </w:rPr>
        <w:t>Statistical Analysis</w:t>
      </w:r>
    </w:p>
    <w:p w14:paraId="043B3D66" w14:textId="77777777" w:rsidR="00FD70BC" w:rsidRDefault="00FD70BC" w:rsidP="00AE408E">
      <w:pPr>
        <w:pStyle w:val="NormalWeb"/>
        <w:spacing w:line="480" w:lineRule="auto"/>
        <w:ind w:firstLine="720"/>
        <w:jc w:val="both"/>
        <w:rPr>
          <w:color w:val="252525"/>
        </w:rPr>
      </w:pPr>
      <w:r>
        <w:rPr>
          <w:color w:val="252525"/>
        </w:rPr>
        <w:t>Statistical analysis was carried out using IBM SPSS Statistics 24 software. Data results in the form of pH values were analyzed using ANOVA and Duncan's advanced test. Statistical analysis of organoleptic tests was carried out using the Kruskal-Wallis and Mann-Whitney U advanced tests. The results of the palatability test data in the form of average feed consumption were analyzed statistically using the T-dependent test.</w:t>
      </w:r>
    </w:p>
    <w:p w14:paraId="28D0EB06" w14:textId="77777777" w:rsidR="008638E6" w:rsidRDefault="008638E6" w:rsidP="00A51F09">
      <w:pPr>
        <w:rPr>
          <w:b/>
          <w:bCs/>
        </w:rPr>
      </w:pPr>
    </w:p>
    <w:p w14:paraId="5763FB2E" w14:textId="1D5EC7F4" w:rsidR="00A51F09" w:rsidRPr="00A51F09" w:rsidRDefault="00FD70BC" w:rsidP="00A51F09">
      <w:pPr>
        <w:rPr>
          <w:b/>
          <w:bCs/>
        </w:rPr>
      </w:pPr>
      <w:r>
        <w:rPr>
          <w:b/>
          <w:bCs/>
        </w:rPr>
        <w:t>Results</w:t>
      </w:r>
    </w:p>
    <w:p w14:paraId="31A803F4" w14:textId="7221B32A" w:rsidR="00A51F09" w:rsidRPr="00A51F09" w:rsidRDefault="00FD70BC" w:rsidP="00A51F09">
      <w:pPr>
        <w:rPr>
          <w:b/>
          <w:bCs/>
        </w:rPr>
      </w:pPr>
      <w:r>
        <w:rPr>
          <w:b/>
          <w:bCs/>
        </w:rPr>
        <w:t>Chemical Quality</w:t>
      </w:r>
    </w:p>
    <w:p w14:paraId="4FA8FE45" w14:textId="612C8BA6" w:rsidR="00A51F09" w:rsidRPr="00FD70BC" w:rsidRDefault="00FD70BC" w:rsidP="00DF6F2F">
      <w:pPr>
        <w:pStyle w:val="NormalWeb"/>
        <w:spacing w:before="0" w:beforeAutospacing="0" w:after="0" w:afterAutospacing="0" w:line="480" w:lineRule="auto"/>
        <w:jc w:val="both"/>
        <w:rPr>
          <w:color w:val="252525"/>
        </w:rPr>
      </w:pPr>
      <w:bookmarkStart w:id="2" w:name="_Hlk152689930"/>
      <w:r>
        <w:rPr>
          <w:color w:val="252525"/>
        </w:rPr>
        <w:t xml:space="preserve">The degree of acidity (pH) of silage showed significant differences (P&lt;0.05) in each treatment (Table 3). The lowest pH value of silage fermented for 14 days was with the addition of the </w:t>
      </w:r>
      <w:r w:rsidR="00E00DF5">
        <w:rPr>
          <w:color w:val="252525"/>
        </w:rPr>
        <w:t>Probiotic starter with heriyaki powder</w:t>
      </w:r>
      <w:r>
        <w:rPr>
          <w:color w:val="252525"/>
        </w:rPr>
        <w:t xml:space="preserve"> additive, while the highest pH value </w:t>
      </w:r>
      <w:r>
        <w:rPr>
          <w:color w:val="252525"/>
        </w:rPr>
        <w:lastRenderedPageBreak/>
        <w:t xml:space="preserve">was control silage. Based on the silage quality category, according to </w:t>
      </w:r>
      <w:r w:rsidR="00A51F09" w:rsidRPr="00A51F09">
        <w:fldChar w:fldCharType="begin" w:fldLock="1"/>
      </w:r>
      <w:r w:rsidR="00A51F09" w:rsidRPr="00A51F09">
        <w:instrText>ADDIN CSL_CITATION {"citationItems":[{"id":"ITEM-1","itemData":{"abstract":"Cabbage waste has the potential to be used as an alternative feed for livestock if the feed is processed sustainably. This study aims to analyze the determine the best level of use of rice bran in making cabbage waste silage seen from physical properties, pH and dry matter content of silage. This study used a completely randomized design with 4 treatments and 4 replications. The treatments were A0 (cabbage waste 100%), A1 (cabbage waste 75% + rice bran 25%), A2 (cabbage waste 50% + rice bran 50%), A3 (cabbage waste 25% + rice bran 75%). The parameters measured includepH,odor, color, texture, presence of mushrooms and dry matter content.The results showed that the substitution of various levels of rice bran on cabbage waste had no significant effect (P&gt; 0.05) on the pH, color, texture and presence of mushrooms, had a significant effect (P &lt;0.05) increased the aroma value, and had a very significant effect (P &lt;0.01) increased the dry matter content of the silage. The best treatment in this study is A3 (cabbage waste 25%, rice bran 75%) because it can increase the odor and dry matter content.","author":[{"dropping-particle":"","family":"Rusdi","given":"Muhammad","non-dropping-particle":"","parse-names":false,"suffix":""},{"dropping-particle":"","family":"Efendi Harahap","given":"Anwar","non-dropping-particle":"","parse-names":false,"suffix":""},{"dropping-particle":"","family":"Elfawati Program Studi Peternakan Fakultas Pertanian dan Peternakan","given":"dan","non-dropping-particle":"","parse-names":false,"suffix":""},{"dropping-particle":"","family":"Sultan Syarif Kasim Riau Jl Soebrantas No","given":"Uin HR","non-dropping-particle":"","parse-names":false,"suffix":""},{"dropping-particle":"","family":"Tampan Pekanbaru","given":"Tuahmadani","non-dropping-particle":"","parse-names":false,"suffix":""}],"container-title":"Jambura Journal of Animal Science","id":"ITEM-1","issue":"1","issued":{"date-parts":[["2021"]]},"page":"14-23","title":"pH, BAHAN KERING DAN SIFAT FISIK SILASE LIMBAH KOL DENGAN PENAMBAHAN LEVEL DEDAK PADI pH, Dry Matter and Physical Properties of Cabbage Waste Silage with Additions of Bran Levels","type":"article-journal","volume":"4"},"uris":["http://www.mendeley.com/documents/?uuid=9ad06f77-50b0-3311-a2f7-5032ea68e272"]}],"mendeley":{"formattedCitation":"(Rusdi et al., 2021)","manualFormatting":"Rusdi et al. (2021)","plainTextFormattedCitation":"(Rusdi et al., 2021)","previouslyFormattedCitation":"(Rusdi et al., 2021)"},"properties":{"noteIndex":0},"schema":"https://github.com/citation-style-language/schema/raw/master/csl-citation.json"}</w:instrText>
      </w:r>
      <w:r w:rsidR="00A51F09" w:rsidRPr="00A51F09">
        <w:fldChar w:fldCharType="separate"/>
      </w:r>
      <w:r w:rsidR="00A51F09" w:rsidRPr="00A51F09">
        <w:t xml:space="preserve">Rusdi </w:t>
      </w:r>
      <w:r w:rsidR="00F37D33" w:rsidRPr="00F37D33">
        <w:rPr>
          <w:i/>
          <w:iCs/>
        </w:rPr>
        <w:t>et al</w:t>
      </w:r>
      <w:r w:rsidR="00A51F09" w:rsidRPr="00A51F09">
        <w:t>. (2021)</w:t>
      </w:r>
      <w:r w:rsidR="00A51F09" w:rsidRPr="00A51F09">
        <w:fldChar w:fldCharType="end"/>
      </w:r>
      <w:r w:rsidR="00A51F09" w:rsidRPr="00A51F09">
        <w:t xml:space="preserve">, </w:t>
      </w:r>
      <w:bookmarkEnd w:id="2"/>
      <w:r>
        <w:t>s</w:t>
      </w:r>
      <w:r w:rsidRPr="00FD70BC">
        <w:t>ilage that has been fermented for 14 days is included in the medium quality category, namely with a pH range of 4.5-4.8. After the silage was given aerobic exposure for 3 days, the pH value increased to 7.10. All silage with aerobic exposure is included in the poor quality category with a pH range of &gt;4.8. Meanwhile, after re-ensiling, the silage experienced a decrease in pH value to 5.21.</w:t>
      </w:r>
    </w:p>
    <w:p w14:paraId="05813233" w14:textId="77777777" w:rsidR="00CA1DB7" w:rsidRDefault="00CA1DB7" w:rsidP="00A51F09">
      <w:pPr>
        <w:rPr>
          <w:b/>
          <w:bCs/>
        </w:rPr>
      </w:pPr>
    </w:p>
    <w:p w14:paraId="3F82C46B" w14:textId="77777777" w:rsidR="00FD70BC" w:rsidRDefault="00FD70BC" w:rsidP="00FD70BC">
      <w:pPr>
        <w:rPr>
          <w:b/>
          <w:bCs/>
        </w:rPr>
      </w:pPr>
      <w:r w:rsidRPr="00FD70BC">
        <w:rPr>
          <w:b/>
          <w:bCs/>
        </w:rPr>
        <w:t>Physical Quality</w:t>
      </w:r>
      <w:r>
        <w:rPr>
          <w:b/>
          <w:bCs/>
        </w:rPr>
        <w:t xml:space="preserve"> </w:t>
      </w:r>
    </w:p>
    <w:p w14:paraId="4EE94033" w14:textId="2BAAA69A" w:rsidR="00E668DB" w:rsidRDefault="00DF6F2F" w:rsidP="00DF6F2F">
      <w:pPr>
        <w:spacing w:line="480" w:lineRule="auto"/>
        <w:ind w:firstLine="720"/>
      </w:pPr>
      <w:bookmarkStart w:id="3" w:name="_Hlk152689799"/>
      <w:r w:rsidRPr="00DF6F2F">
        <w:t>Ramie</w:t>
      </w:r>
      <w:r w:rsidR="00E668DB" w:rsidRPr="00E668DB">
        <w:t xml:space="preserve"> leaf silage with a fermentation time of 14 days showed no significant difference (P&gt;0.05) in color to the control silage with the addition of molasses and </w:t>
      </w:r>
      <w:r w:rsidR="00E00DF5">
        <w:t xml:space="preserve">Probiotic starter with rice bran </w:t>
      </w:r>
      <w:r w:rsidR="00E668DB" w:rsidRPr="00E668DB">
        <w:t xml:space="preserve">, but showed a significant difference (P&lt;0.05) in the silage with the addition of </w:t>
      </w:r>
      <w:r w:rsidR="00E00DF5">
        <w:t>Probiotic starter with heriyaki powder</w:t>
      </w:r>
      <w:r w:rsidR="00E668DB" w:rsidRPr="00E668DB">
        <w:t xml:space="preserve"> (Table 4). Based on aroma, there was a significant difference (P&lt;0.05) in the control silage, but there was no significant difference (P&gt;0.05) in the silage with the addition of </w:t>
      </w:r>
      <w:r w:rsidR="00E00DF5">
        <w:t xml:space="preserve">Probiotic starter with rice bran </w:t>
      </w:r>
      <w:r w:rsidR="00E668DB" w:rsidRPr="00E668DB">
        <w:t xml:space="preserve"> and </w:t>
      </w:r>
      <w:r w:rsidR="00E00DF5">
        <w:t>Probiotic starter with heriyaki powder</w:t>
      </w:r>
      <w:r w:rsidR="00E668DB" w:rsidRPr="00E668DB">
        <w:t xml:space="preserve">. Based on texture, there was no significant difference (P&gt;0.05) in all silages. The control silage has a dark green color, a sweet, slightly sour smell and a firm, non-slimy texture. </w:t>
      </w:r>
      <w:r w:rsidR="00E00DF5">
        <w:t xml:space="preserve">Probiotic starter with rice bran </w:t>
      </w:r>
      <w:r w:rsidR="00E668DB" w:rsidRPr="00E668DB">
        <w:t xml:space="preserve"> and </w:t>
      </w:r>
      <w:r w:rsidR="00E00DF5">
        <w:t>Probiotic starter with heriyaki powder</w:t>
      </w:r>
      <w:r w:rsidR="00E668DB" w:rsidRPr="00E668DB">
        <w:t xml:space="preserve"> silage has a dark green color, a fragrant sour aroma and a slightly hard texture that is not slimy. All silage that has been fermented for 14 days is free from mold.</w:t>
      </w:r>
    </w:p>
    <w:bookmarkEnd w:id="3"/>
    <w:p w14:paraId="54BEFB0A" w14:textId="57AEA4D1" w:rsidR="00E668DB" w:rsidRDefault="00E668DB" w:rsidP="00DF6F2F">
      <w:pPr>
        <w:pStyle w:val="NormalWeb"/>
        <w:spacing w:before="0" w:beforeAutospacing="0" w:after="0" w:afterAutospacing="0" w:line="480" w:lineRule="auto"/>
        <w:ind w:firstLine="720"/>
        <w:jc w:val="both"/>
        <w:rPr>
          <w:color w:val="252525"/>
        </w:rPr>
      </w:pPr>
      <w:r>
        <w:rPr>
          <w:color w:val="252525"/>
        </w:rPr>
        <w:t xml:space="preserve">Silage with aerobic exposure experienced a decrease in physical quality, especially in control silage, which showed significant differences (P&lt;0.05) based on color and aroma parameters but did not show significant differences (P&gt;0.05) based on texture parameters. The control silage has a brownish color, a stimulating aroma, and a slightly firm texture that is not slimy. Silage with the addition of </w:t>
      </w:r>
      <w:r w:rsidR="00E00DF5">
        <w:rPr>
          <w:color w:val="252525"/>
        </w:rPr>
        <w:t xml:space="preserve">Probiotic starter with rice bran </w:t>
      </w:r>
      <w:r>
        <w:rPr>
          <w:color w:val="252525"/>
        </w:rPr>
        <w:t xml:space="preserve"> </w:t>
      </w:r>
      <w:r>
        <w:rPr>
          <w:color w:val="252525"/>
        </w:rPr>
        <w:lastRenderedPageBreak/>
        <w:t xml:space="preserve">and </w:t>
      </w:r>
      <w:r w:rsidR="00E00DF5">
        <w:rPr>
          <w:color w:val="252525"/>
        </w:rPr>
        <w:t>Probiotic starter with heriyaki powder</w:t>
      </w:r>
      <w:r>
        <w:rPr>
          <w:color w:val="252525"/>
        </w:rPr>
        <w:t xml:space="preserve"> has a dark green color, a sweet, slightly sour aroma, and a firm, non-slimy texture. The presence of fungi after aerobic exposure was observed in control silage (29.94%) and </w:t>
      </w:r>
      <w:r w:rsidR="00E00DF5">
        <w:rPr>
          <w:color w:val="252525"/>
        </w:rPr>
        <w:t xml:space="preserve">Probiotic starter with rice bran </w:t>
      </w:r>
      <w:r>
        <w:rPr>
          <w:color w:val="252525"/>
        </w:rPr>
        <w:t xml:space="preserve"> silage (7.32%). Meanwhile, </w:t>
      </w:r>
      <w:r w:rsidR="00E00DF5">
        <w:rPr>
          <w:color w:val="252525"/>
        </w:rPr>
        <w:t>Probiotic starter with heriyaki powder</w:t>
      </w:r>
      <w:r>
        <w:rPr>
          <w:color w:val="252525"/>
        </w:rPr>
        <w:t xml:space="preserve"> silage does not contain mold. Silage after re-ensiling showed no significant differences (P &gt; 0.05) in each treatment. The control silage has a brownish color, a sweet, slightly sour aroma, and a slightly firm, non-slimy texture. </w:t>
      </w:r>
      <w:r w:rsidR="00E00DF5">
        <w:rPr>
          <w:color w:val="252525"/>
        </w:rPr>
        <w:t xml:space="preserve">Probiotic starter with rice bran </w:t>
      </w:r>
      <w:r>
        <w:rPr>
          <w:color w:val="252525"/>
        </w:rPr>
        <w:t xml:space="preserve"> and </w:t>
      </w:r>
      <w:r w:rsidR="00E00DF5">
        <w:rPr>
          <w:color w:val="252525"/>
        </w:rPr>
        <w:t>Probiotic starter with heriyaki powder</w:t>
      </w:r>
      <w:r>
        <w:rPr>
          <w:color w:val="252525"/>
        </w:rPr>
        <w:t xml:space="preserve"> silage have a dark green color, a sweet, slightly sour aroma, and a slightly hard texture that is not slimy.</w:t>
      </w:r>
    </w:p>
    <w:p w14:paraId="12566C09" w14:textId="2C4BEE0F" w:rsidR="00E668DB" w:rsidRDefault="00E668DB" w:rsidP="00DF6F2F">
      <w:pPr>
        <w:pStyle w:val="NormalWeb"/>
        <w:spacing w:before="0" w:beforeAutospacing="0" w:after="0" w:afterAutospacing="0" w:line="480" w:lineRule="auto"/>
        <w:ind w:firstLine="720"/>
        <w:jc w:val="both"/>
        <w:rPr>
          <w:color w:val="252525"/>
        </w:rPr>
      </w:pPr>
      <w:r>
        <w:rPr>
          <w:color w:val="252525"/>
        </w:rPr>
        <w:t xml:space="preserve">A comparison of the surfaces of </w:t>
      </w:r>
      <w:r w:rsidR="00DF6F2F" w:rsidRPr="00DF6F2F">
        <w:rPr>
          <w:color w:val="252525"/>
        </w:rPr>
        <w:t>ramie</w:t>
      </w:r>
      <w:r>
        <w:rPr>
          <w:color w:val="252525"/>
        </w:rPr>
        <w:t xml:space="preserve"> leaves before and after fermentation is shown in Table 5. Through microscopic morphological analysis, there is a clear difference between silage that has been fermented for 14 days and fresh leaves. Fresh </w:t>
      </w:r>
      <w:r w:rsidR="00DF6F2F" w:rsidRPr="00DF6F2F">
        <w:rPr>
          <w:color w:val="252525"/>
        </w:rPr>
        <w:t>ramie</w:t>
      </w:r>
      <w:r>
        <w:rPr>
          <w:color w:val="252525"/>
        </w:rPr>
        <w:t xml:space="preserve"> leaves have a bright green color with white leaf veins, in contrast to the silage group, which looks more brownish and has dark leaf veins. This occurs because of the oxidation reaction that occurs during fermentation. Apart from that, the three silage groups were also compared in terms of morphology and showed differences between the three. The control silage had a dark-colored leaf cell morphology similar to the silage with the addition of </w:t>
      </w:r>
      <w:r w:rsidR="00E00DF5">
        <w:rPr>
          <w:color w:val="252525"/>
        </w:rPr>
        <w:t>probiotic starter with heriyaki powder</w:t>
      </w:r>
      <w:r>
        <w:rPr>
          <w:color w:val="252525"/>
        </w:rPr>
        <w:t xml:space="preserve">, but different from the silage with the addition of </w:t>
      </w:r>
      <w:r w:rsidR="00E00DF5">
        <w:rPr>
          <w:color w:val="252525"/>
        </w:rPr>
        <w:t xml:space="preserve">probiotic starter with rice bran </w:t>
      </w:r>
      <w:r>
        <w:rPr>
          <w:color w:val="252525"/>
        </w:rPr>
        <w:t>, which was light green in color.</w:t>
      </w:r>
    </w:p>
    <w:p w14:paraId="38B2F55B" w14:textId="40FFB0A1" w:rsidR="00A51F09" w:rsidRPr="00A51F09" w:rsidRDefault="00A51F09" w:rsidP="00D66BD2">
      <w:pPr>
        <w:ind w:firstLine="720"/>
        <w:rPr>
          <w:color w:val="FF0000"/>
        </w:rPr>
      </w:pPr>
      <w:r w:rsidRPr="00A51F09">
        <w:rPr>
          <w:color w:val="FF0000"/>
        </w:rPr>
        <w:t xml:space="preserve"> </w:t>
      </w:r>
    </w:p>
    <w:p w14:paraId="6889F832" w14:textId="77777777" w:rsidR="00E668DB" w:rsidRDefault="00E668DB" w:rsidP="00E668DB">
      <w:pPr>
        <w:rPr>
          <w:b/>
          <w:bCs/>
        </w:rPr>
      </w:pPr>
      <w:r>
        <w:rPr>
          <w:b/>
          <w:bCs/>
        </w:rPr>
        <w:t>Microbiology Analysis</w:t>
      </w:r>
    </w:p>
    <w:p w14:paraId="3D75187F" w14:textId="2523C6AF" w:rsidR="00E668DB" w:rsidRDefault="00E668DB" w:rsidP="00DF6F2F">
      <w:pPr>
        <w:spacing w:line="480" w:lineRule="auto"/>
        <w:ind w:firstLine="720"/>
        <w:rPr>
          <w:color w:val="252525"/>
        </w:rPr>
      </w:pPr>
      <w:r>
        <w:rPr>
          <w:color w:val="252525"/>
        </w:rPr>
        <w:t xml:space="preserve">The results of gram staining of microbial isolates in silage fermented for 14 days are shown in Table 6. From the table, a total of six bacterial isolates were obtained in the silage samples. The bacterial isolates obtained came from a group of gram-positive </w:t>
      </w:r>
      <w:r>
        <w:rPr>
          <w:color w:val="252525"/>
        </w:rPr>
        <w:lastRenderedPageBreak/>
        <w:t>bacteria in the form of bacilli and cocci. The results of silage microbial calculations at a dilution factor of 10-6 are shown in Table 7.</w:t>
      </w:r>
    </w:p>
    <w:p w14:paraId="0F143DF3" w14:textId="77777777" w:rsidR="00AE408E" w:rsidRPr="00E668DB" w:rsidRDefault="00AE408E" w:rsidP="0040767B">
      <w:pPr>
        <w:spacing w:line="480" w:lineRule="auto"/>
        <w:rPr>
          <w:b/>
          <w:bCs/>
          <w:i/>
          <w:iCs/>
        </w:rPr>
      </w:pPr>
    </w:p>
    <w:p w14:paraId="25763BC4" w14:textId="77777777" w:rsidR="00E668DB" w:rsidRDefault="00E668DB" w:rsidP="00E668DB">
      <w:pPr>
        <w:rPr>
          <w:b/>
          <w:bCs/>
        </w:rPr>
      </w:pPr>
      <w:r w:rsidRPr="00E668DB">
        <w:rPr>
          <w:b/>
          <w:bCs/>
        </w:rPr>
        <w:t>Palatability Level</w:t>
      </w:r>
    </w:p>
    <w:p w14:paraId="2CAB7E81" w14:textId="5BE7101E" w:rsidR="00E668DB" w:rsidRDefault="00E668DB" w:rsidP="00DF6F2F">
      <w:pPr>
        <w:pStyle w:val="NormalWeb"/>
        <w:spacing w:before="0" w:beforeAutospacing="0" w:after="0" w:afterAutospacing="0" w:line="480" w:lineRule="auto"/>
        <w:ind w:firstLine="720"/>
        <w:jc w:val="both"/>
        <w:rPr>
          <w:color w:val="252525"/>
        </w:rPr>
      </w:pPr>
      <w:r>
        <w:rPr>
          <w:color w:val="252525"/>
        </w:rPr>
        <w:t xml:space="preserve">The results of the level of palatability of </w:t>
      </w:r>
      <w:r w:rsidR="00E00DF5">
        <w:rPr>
          <w:color w:val="252525"/>
        </w:rPr>
        <w:t>Probiotic starter with heriyaki powder</w:t>
      </w:r>
      <w:r>
        <w:rPr>
          <w:color w:val="252525"/>
        </w:rPr>
        <w:t xml:space="preserve"> silage in arrowroot sheep during the five-day testing period can be seen in Table 8. The results of the T-dependent test show a significant difference (P&lt;0.05) in the level of palatability between standard bandotan grass feed and </w:t>
      </w:r>
      <w:r w:rsidR="00E00DF5">
        <w:rPr>
          <w:color w:val="252525"/>
        </w:rPr>
        <w:t>Probiotic starter with heriyaki powder</w:t>
      </w:r>
      <w:r>
        <w:rPr>
          <w:color w:val="252525"/>
        </w:rPr>
        <w:t xml:space="preserve"> silage. The amount of standard feed consumed is lower (547.4 grams/day) compared to </w:t>
      </w:r>
      <w:r w:rsidR="00DF6F2F" w:rsidRPr="00DF6F2F">
        <w:rPr>
          <w:color w:val="252525"/>
        </w:rPr>
        <w:t>ramie</w:t>
      </w:r>
      <w:r>
        <w:rPr>
          <w:color w:val="252525"/>
        </w:rPr>
        <w:t xml:space="preserve"> leaf silage (701.1 grams/day). This value shows that the amount of sheep consumption of </w:t>
      </w:r>
      <w:r w:rsidR="00DF6F2F" w:rsidRPr="00DF6F2F">
        <w:rPr>
          <w:color w:val="252525"/>
        </w:rPr>
        <w:t>ramie</w:t>
      </w:r>
      <w:r>
        <w:rPr>
          <w:color w:val="252525"/>
        </w:rPr>
        <w:t xml:space="preserve"> leaf silage is 28.07% higher than standard feed.</w:t>
      </w:r>
    </w:p>
    <w:p w14:paraId="1F2A17E5" w14:textId="77777777" w:rsidR="00B817E0" w:rsidRDefault="00B817E0" w:rsidP="00A51F09">
      <w:pPr>
        <w:rPr>
          <w:b/>
          <w:bCs/>
        </w:rPr>
      </w:pPr>
    </w:p>
    <w:p w14:paraId="1DC9F640" w14:textId="34541A3A" w:rsidR="00E668DB" w:rsidRDefault="00E00DF5" w:rsidP="00A51F09">
      <w:pPr>
        <w:rPr>
          <w:b/>
          <w:bCs/>
        </w:rPr>
      </w:pPr>
      <w:r>
        <w:rPr>
          <w:b/>
          <w:bCs/>
        </w:rPr>
        <w:t>Probiotic starter with heriyaki powder</w:t>
      </w:r>
      <w:r w:rsidR="00E668DB" w:rsidRPr="00E668DB">
        <w:rPr>
          <w:b/>
          <w:bCs/>
        </w:rPr>
        <w:t xml:space="preserve"> Silage Pellets</w:t>
      </w:r>
    </w:p>
    <w:p w14:paraId="2EFD18CC" w14:textId="15890EE2" w:rsidR="00205102" w:rsidRDefault="00C5289E" w:rsidP="00DF6F2F">
      <w:pPr>
        <w:pStyle w:val="NormalWeb"/>
        <w:spacing w:before="0" w:beforeAutospacing="0" w:after="0" w:afterAutospacing="0" w:line="480" w:lineRule="auto"/>
        <w:jc w:val="both"/>
        <w:rPr>
          <w:color w:val="252525"/>
        </w:rPr>
      </w:pPr>
      <w:r w:rsidRPr="00BB3B7F">
        <w:rPr>
          <w:b/>
          <w:bCs/>
        </w:rPr>
        <w:tab/>
      </w:r>
      <w:r w:rsidR="00E668DB">
        <w:rPr>
          <w:color w:val="252525"/>
        </w:rPr>
        <w:t xml:space="preserve">The previously-made </w:t>
      </w:r>
      <w:r w:rsidR="00E00DF5">
        <w:rPr>
          <w:color w:val="252525"/>
        </w:rPr>
        <w:t>Probiotic starter with heriyaki powder</w:t>
      </w:r>
      <w:r w:rsidR="00E668DB">
        <w:rPr>
          <w:color w:val="252525"/>
        </w:rPr>
        <w:t xml:space="preserve"> silage is further processed into pellets through a compaction and molding process. Processing into pellets aims to increase the shelf life of silage. Silage made from pellets can last longer than regular silage because the lower water content inhibits spoilage by spoilage microbes, which affects the quality of the silage. The results of the level of palatability of </w:t>
      </w:r>
      <w:r w:rsidR="00E00DF5">
        <w:rPr>
          <w:color w:val="252525"/>
        </w:rPr>
        <w:t>Probiotic starter with heriyaki powder</w:t>
      </w:r>
      <w:r w:rsidR="00E668DB">
        <w:rPr>
          <w:color w:val="252525"/>
        </w:rPr>
        <w:t xml:space="preserve"> silage in arrowroot sheep</w:t>
      </w:r>
      <w:r w:rsidR="00205102">
        <w:rPr>
          <w:color w:val="252525"/>
        </w:rPr>
        <w:t>.</w:t>
      </w:r>
    </w:p>
    <w:p w14:paraId="6074B0DF" w14:textId="60767A2D" w:rsidR="00205102" w:rsidRDefault="00E668DB" w:rsidP="00DF6F2F">
      <w:pPr>
        <w:pStyle w:val="NormalWeb"/>
        <w:spacing w:before="0" w:beforeAutospacing="0" w:after="0" w:afterAutospacing="0" w:line="480" w:lineRule="auto"/>
        <w:ind w:firstLine="720"/>
        <w:jc w:val="both"/>
        <w:rPr>
          <w:color w:val="252525"/>
        </w:rPr>
      </w:pPr>
      <w:r>
        <w:rPr>
          <w:color w:val="252525"/>
        </w:rPr>
        <w:t>The resulting silage pellets have a dark brown appearance with a length of ± 25 mm and a diameter of ± 8 mm. Silage made from pellets has a darker color than wet silage because it has gone through a process of reducing the water content and adding molasses as an adhesive. The addition of 15% (w/w) molasses makes the resulting pellets dense and not easily crushed into flakes.</w:t>
      </w:r>
      <w:r w:rsidR="00205102">
        <w:rPr>
          <w:color w:val="252525"/>
        </w:rPr>
        <w:t xml:space="preserve"> Silage pellets have a solid shape seen from a </w:t>
      </w:r>
      <w:r w:rsidR="00205102">
        <w:rPr>
          <w:color w:val="252525"/>
        </w:rPr>
        <w:lastRenderedPageBreak/>
        <w:t>microscope. The dense form of silage pellets can maintain anaerobic conditions in the silage, so feed preservation is guaranteed.</w:t>
      </w:r>
    </w:p>
    <w:p w14:paraId="1FC79A51" w14:textId="77777777" w:rsidR="00AE408E" w:rsidRPr="00A51F09" w:rsidRDefault="00AE408E" w:rsidP="00A51F09">
      <w:pPr>
        <w:rPr>
          <w:b/>
          <w:bCs/>
        </w:rPr>
      </w:pPr>
    </w:p>
    <w:p w14:paraId="140AB9EF" w14:textId="75879D6D" w:rsidR="00A51F09" w:rsidRPr="00A51F09" w:rsidRDefault="00CE6E58" w:rsidP="00A51F09">
      <w:pPr>
        <w:rPr>
          <w:b/>
          <w:bCs/>
        </w:rPr>
      </w:pPr>
      <w:r>
        <w:rPr>
          <w:b/>
          <w:bCs/>
        </w:rPr>
        <w:t>Discussions</w:t>
      </w:r>
    </w:p>
    <w:p w14:paraId="2AAB4DF3" w14:textId="77777777" w:rsidR="00CE6E58" w:rsidRDefault="00CE6E58" w:rsidP="00CD341D">
      <w:pPr>
        <w:numPr>
          <w:ilvl w:val="1"/>
          <w:numId w:val="4"/>
        </w:numPr>
        <w:spacing w:line="480" w:lineRule="auto"/>
        <w:ind w:left="426" w:hanging="426"/>
      </w:pPr>
      <w:r>
        <w:t>Chemical Quality</w:t>
      </w:r>
    </w:p>
    <w:p w14:paraId="15A87338" w14:textId="474F4398" w:rsidR="00B21B5C" w:rsidRDefault="00CE6E58" w:rsidP="00CD341D">
      <w:pPr>
        <w:pStyle w:val="NormalWeb"/>
        <w:spacing w:before="0" w:beforeAutospacing="0" w:after="0" w:afterAutospacing="0" w:line="480" w:lineRule="auto"/>
        <w:jc w:val="both"/>
        <w:rPr>
          <w:color w:val="252525"/>
        </w:rPr>
      </w:pPr>
      <w:r w:rsidRPr="00CE6E58">
        <w:rPr>
          <w:color w:val="252525"/>
        </w:rPr>
        <w:t xml:space="preserve">The pH value of silage decreases after the fermentation process because during the fermentation process lactic acid bacteria produce lactic acid. The addition of the </w:t>
      </w:r>
      <w:r w:rsidR="00E00DF5">
        <w:rPr>
          <w:color w:val="252525"/>
        </w:rPr>
        <w:t>Probiotic starter with heriyaki powder</w:t>
      </w:r>
      <w:r w:rsidRPr="00CE6E58">
        <w:rPr>
          <w:color w:val="252525"/>
        </w:rPr>
        <w:t xml:space="preserve"> additive produces the lowest pH value compared to other treatments. The addition of probiotics can reduce the pH of the silage due to the number of lactic acid bacteria in the silage so that the fermentation process takes place more quickly</w:t>
      </w:r>
      <w:r>
        <w:t xml:space="preserve"> </w:t>
      </w:r>
      <w:r w:rsidR="00A51F09" w:rsidRPr="00A51F09">
        <w:fldChar w:fldCharType="begin" w:fldLock="1"/>
      </w:r>
      <w:r w:rsidR="00A51F09" w:rsidRPr="00A51F09">
        <w:instrText>ADDIN CSL_CITATION {"citationItems":[{"id":"ITEM-1","itemData":{"DOI":"10.1093/jas/skz021","ISSN":"15253163","PMID":"30715344","abstract":"The objective of this study was to assess the impact of Saccharomyces cerevisiae in combination with Lactobacillus buchneri on the fermentation characteristics, aerobic stability, nutritive value, and microbial communities of corn silage. Whole crop corn (39% DM) was either uninoculated (Control) or inoculated with S. cerevisiae and L. buchneri at the following concentrations: S. cerevisiae 10 4 cfu/g fresh forage (S4), S. cerevisiae 10 5 cfu/g (S5), S. cerevisiae 10 4 cfu/g + L. buchneri 10 5 cfu/g (S4L5), and S. cerevisiae 10 5 cfu/g + L. buchneri 10 4 cfu/g (S5L4), and ensiled in mini silos for 118 d, followed by 7 d of aerobic exposure. Changes in fermentation characteristics and nutritive value were assessed in terminal silages. Saccharomyces cerevisiae, L. buchneri, and total yeast, fungal, and bacterial communities in silage were estimated using quantitative PCR. Composition of bacterial and fungal communities during ensiling and aerobic exposure was measured using 16S rDNA and ITS sequencing, respectively. In the first 7 d of ensiling, the concentration of lactic acid rapidly increased (P &lt; 0.01) in all silages, with the pH declining to 4.0 (P &lt; 0.001) and thereafter remaining stable (P = 0.23). Although S4L5 contained a higher (P = 0.03) concentration of acetic acid than Control, other fermentation characteristics were did not differ among terminal silages. Inoculation with S. cerevisiae had no detrimental effect on the aerobic stability of silage, whereas L. buchneri did not prevent spoilage as the pH across all silages averaged 8.0 after 7 d of aerobic exposure. Total yeast (P = 0.42), bacterial (P = 0.13), and fungal (P = 0.89) communities were not altered by the inoculants after ensiling or aerobic exposure. Sequencing identified temporal shifts of bacterial and fungal communities during ensiling and aerobic exposure. Concentrations of S. cerevisiae and L. buchneri in all inoculated silages remained greater (P &lt; 0.01) than Control after ensiling, with numbers of S. cerevisiae increasing after 7 d of aerobic exposure. Bacterial communities in silages inoculated with S. cerevisiae and L. buchneri clustered separately from other silages, an observation that was not apparent for fungal communities. Our findings suggest that aerobic exposure could potentially increase the abundance of S. cerevisiae with probiotic properties in corn silage just prior to feeding.","author":[{"dropping-particle":"","family":"Xu","given":"Shanwei","non-dropping-particle":"","parse-names":false,"suffix":""},{"dropping-particle":"","family":"Yang","given":"Jinli","non-dropping-particle":"","parse-names":false,"suffix":""},{"dropping-particle":"","family":"Qi","given":"Meng","non-dropping-particle":"","parse-names":false,"suffix":""},{"dropping-particle":"","family":"Smiley","given":"Brenda","non-dropping-particle":"","parse-names":false,"suffix":""},{"dropping-particle":"","family":"Rutherford","given":"William","non-dropping-particle":"","parse-names":false,"suffix":""},{"dropping-particle":"","family":"Wang","given":"Yuxi","non-dropping-particle":"","parse-names":false,"suffix":""},{"dropping-particle":"","family":"McAllister","given":"Tim A.","non-dropping-particle":"","parse-names":false,"suffix":""}],"container-title":"Journal of Animal Science","id":"ITEM-1","issue":"3","issued":{"date-parts":[["2019"]]},"page":"1273-1285","title":"Impact of Saccharomyces cerevisiae and Lactobacillus buchneri on microbial communities during ensiling and aerobic spoilage of corn silage","type":"article-journal","volume":"97"},"uris":["http://www.mendeley.com/documents/?uuid=9e7f4e91-75eb-4502-af9f-4dee133f2d8b"]}],"mendeley":{"formattedCitation":"(Xu et al., 2019)","plainTextFormattedCitation":"(Xu et al., 2019)","previouslyFormattedCitation":"(Xu et al., 2019)"},"properties":{"noteIndex":0},"schema":"https://github.com/citation-style-language/schema/raw/master/csl-citation.json"}</w:instrText>
      </w:r>
      <w:r w:rsidR="00A51F09" w:rsidRPr="00A51F09">
        <w:fldChar w:fldCharType="separate"/>
      </w:r>
      <w:r w:rsidR="00A51F09" w:rsidRPr="00A51F09">
        <w:t xml:space="preserve">(Xu </w:t>
      </w:r>
      <w:r w:rsidR="00F37D33" w:rsidRPr="00F37D33">
        <w:rPr>
          <w:i/>
          <w:iCs/>
        </w:rPr>
        <w:t>et al</w:t>
      </w:r>
      <w:r w:rsidR="00CB5660" w:rsidRPr="00CB5660">
        <w:t>.</w:t>
      </w:r>
      <w:r w:rsidR="00A51F09" w:rsidRPr="00A51F09">
        <w:t xml:space="preserve"> 2019)</w:t>
      </w:r>
      <w:r w:rsidR="00A51F09" w:rsidRPr="00A51F09">
        <w:fldChar w:fldCharType="end"/>
      </w:r>
      <w:r w:rsidR="00A51F09" w:rsidRPr="00A51F09">
        <w:t xml:space="preserve">. </w:t>
      </w:r>
      <w:r>
        <w:rPr>
          <w:color w:val="252525"/>
        </w:rPr>
        <w:t xml:space="preserve">After 3 days of aerobic exposure, the pH value of the silage increased, but the silage with the addition of </w:t>
      </w:r>
      <w:r w:rsidR="00E00DF5">
        <w:rPr>
          <w:color w:val="252525"/>
        </w:rPr>
        <w:t xml:space="preserve">Probiotic starter with rice bran </w:t>
      </w:r>
      <w:r>
        <w:rPr>
          <w:color w:val="252525"/>
        </w:rPr>
        <w:t xml:space="preserve"> and </w:t>
      </w:r>
      <w:r w:rsidR="00E00DF5">
        <w:rPr>
          <w:color w:val="252525"/>
        </w:rPr>
        <w:t>Probiotic starter with heriyaki powder</w:t>
      </w:r>
      <w:r>
        <w:rPr>
          <w:color w:val="252525"/>
        </w:rPr>
        <w:t xml:space="preserve"> additives maintained a lower pH than the control silage. The increase in pH after aerobic exposure is caused by the yeast's organic acid metabolism pathway, starting with silage oxygenation, which can reduce the concentration of lactic acid and increase the pH </w:t>
      </w:r>
      <w:r w:rsidR="00A51F09" w:rsidRPr="00A51F09">
        <w:fldChar w:fldCharType="begin" w:fldLock="1"/>
      </w:r>
      <w:r w:rsidR="00A51F09" w:rsidRPr="00A51F09">
        <w:instrText>ADDIN CSL_CITATION {"citationItems":[{"id":"ITEM-1","itemData":{"DOI":"10.3389/fmicb.2020.519121","ISSN":"1664302X","abstract":"Both inoculants treatment and enzyme treatment promote the reproduction of lactic acid bacteria (LAB) to produce enough lactic acid to lower pH in silage. The present study investigated the microbial community and metabolome in cellulase, Lactobacillus casei, and air treated alfalfa silage. Chopped and wilted alfalfa (first cutting, 29% dry matter) was ensiled without (CON) or with L. casei (1 × 106 cfu g–1 fresh matter) (LC) or cellulase (20,000IU, 0.5% of fresh matter) (CE) for 56 days, then exposed to air for 3 days (PO). Greater ensiling quality was observed in LC and CE, which had lower pH and higher lactic acid content than CON at 56 days of ensiling and 3 days post-oxygen exposure. Air exposure was associated with decreased lactic acid concentrations and increased yeast and mold counts in all silages. SEM showed that the structure of leaf epicuticular wax crystals were intact in fresh alfalfa, totally decomposed in CON silage, and partly preserved in CE and LC silage. Gas chromatography mass spectrometry revealed that 196 metabolites and 95 differential concentration were present in the 3 days air exposure samples. Most of these metabolites, mainly organic acids, polyols, ketones, aldehydes, are capable of antimicrobial activity. The bacterial communities were obviously different among groups and Lactobacillus developed to a dominant status in all silages. Lactobacillus became dominant in bacterial communities of LC and CE silages from days 7 to 56, and their relative abundances reached 94.17–83.93% at day 56, respectively. For CON silage, until day 56, Lactobacillus dominated the bacterial community with abundance of 75.10%. After 3 days of oxygen exposure, Lactobacillus and Enterococcus were predominant in CON, and Lactobacillus remained dominant in LC and CE silages. The results indicated that, compared to untreated silages, L. casei could be a priority inoculant for alfalfa silage to boost Lactobacillus abundance and improve fermentation quality. Our high-throughput sequencing and gas chromatography mass spectrometry results provide a deep insight into the bacterial community and metabolites in alfalfa silage.","author":[{"dropping-particle":"","family":"Hu","given":"Zongfu","non-dropping-particle":"","parse-names":false,"suffix":""},{"dropping-particle":"","family":"Niu","given":"Huaxin","non-dropping-particle":"","parse-names":false,"suffix":""},{"dropping-particle":"","family":"Tong","given":"Qing","non-dropping-particle":"","parse-names":false,"suffix":""},{"dropping-particle":"","family":"Chang","given":"Jie","non-dropping-particle":"","parse-names":false,"suffix":""},{"dropping-particle":"","family":"Yu","given":"Jianhua","non-dropping-particle":"","parse-names":false,"suffix":""},{"dropping-particle":"","family":"Li","given":"Shuguo","non-dropping-particle":"","parse-names":false,"suffix":""},{"dropping-particle":"","family":"Zhang","given":"Shi","non-dropping-particle":"","parse-names":false,"suffix":""},{"dropping-particle":"","family":"Ma","given":"Deying","non-dropping-particle":"","parse-names":false,"suffix":""}],"container-title":"Frontiers in Microbiology","id":"ITEM-1","issued":{"date-parts":[["2020","11","26"]]},"publisher":"Frontiers Media S.A.","title":"The Microbiota Dynamics of Alfalfa Silage During Ensiling and After Air Exposure, and the Metabolomics After Air Exposure Are Affected by Lactobacillus casei and Cellulase Addition","type":"article-journal","volume":"11"},"uris":["http://www.mendeley.com/documents/?uuid=80074beb-58f8-3d06-9de3-367c16fa0bb0"]}],"mendeley":{"formattedCitation":"(Hu et al., 2020)","plainTextFormattedCitation":"(Hu et al., 2020)","previouslyFormattedCitation":"(Hu et al., 2020)"},"properties":{"noteIndex":0},"schema":"https://github.com/citation-style-language/schema/raw/master/csl-citation.json"}</w:instrText>
      </w:r>
      <w:r w:rsidR="00A51F09" w:rsidRPr="00A51F09">
        <w:fldChar w:fldCharType="separate"/>
      </w:r>
      <w:r w:rsidR="00A51F09" w:rsidRPr="00A51F09">
        <w:t xml:space="preserve">(Hu </w:t>
      </w:r>
      <w:r w:rsidR="00F37D33" w:rsidRPr="00F37D33">
        <w:rPr>
          <w:i/>
          <w:iCs/>
        </w:rPr>
        <w:t>et al</w:t>
      </w:r>
      <w:r w:rsidR="00CB5660" w:rsidRPr="00CB5660">
        <w:t>.</w:t>
      </w:r>
      <w:r w:rsidR="00A51F09" w:rsidRPr="00A51F09">
        <w:t xml:space="preserve"> 2020)</w:t>
      </w:r>
      <w:r w:rsidR="00A51F09" w:rsidRPr="00A51F09">
        <w:fldChar w:fldCharType="end"/>
      </w:r>
      <w:r w:rsidR="00A51F09" w:rsidRPr="00A51F09">
        <w:t xml:space="preserve">. </w:t>
      </w:r>
      <w:r>
        <w:rPr>
          <w:color w:val="252525"/>
        </w:rPr>
        <w:t>After re-ensiling, the pH value of the silage decreased. The decrease in pH was caused by a re-increase in the number of lactic acid bacteria; this is in line with research of</w:t>
      </w:r>
      <w:r w:rsidR="00A51F09" w:rsidRPr="00A51F09">
        <w:t xml:space="preserve"> </w:t>
      </w:r>
      <w:r w:rsidR="00A51F09" w:rsidRPr="00A51F09">
        <w:fldChar w:fldCharType="begin" w:fldLock="1"/>
      </w:r>
      <w:r w:rsidR="00A51F09" w:rsidRPr="00A51F09">
        <w:instrText>ADDIN CSL_CITATION {"citationItems":[{"id":"ITEM-1","itemData":{"DOI":"10.1002/jsfa.11147","ISSN":"10970010","PMID":"33570166","abstract":"BACKGROUND: With the rapid development of animal husbandry, the silage trade has increased in frequency. The re-ensiling of materials is often required before or after trading, resulting in the exposure of the silage to air before re-sealing. To develop a re-ensiling technique for silage, different silage exposure periods were simulated to check the possible effects on the fermentation quality and microbial community of silage. RESULTS: Fresh and wilted napier grass (Pennisetum purpureum) were ensiled for 90 days, then exposed to air for 0, 6, 12, 24, 36 or 48 h, before being re-ensiled. As a control, grass was directly ensiled for 180 days. Wilting increased the relative abundance of Klebsiella. The relative abundance of Paenibacillus in the unwilted silage was much higher than that in the wilted silage. Re-ensiling increased the relative abundance of Lactobacillus, but decreased the relative abundances of Klebsiella, Bacillus, and Paenibacillus. In addition, Lactobacillus became the dominant bacteria in the re-ensiled fresh and wilted silages. Re-ensiling within 48 h of exposure did not affect the fermentation quality of the wilted silage, whereas that of the unwilted silage declined when exposed to air for over 24 h. CONCLUSION: Re-ensiling wilted napier grass silage within 48 h of aerobic exposure did not cause the fermentation quality to decline. The unwilted napier grass silage contained a higher relative abundance of Paenibacillus and significantly deteriorated when re-ensiled after over 24 h of aerobic exposure. © 2021 Society of Chemical Industry.","author":[{"dropping-particle":"","family":"Yin","given":"Xiang","non-dropping-particle":"","parse-names":false,"suffix":""},{"dropping-particle":"","family":"Tian","given":"Jing","non-dropping-particle":"","parse-names":false,"suffix":""},{"dropping-particle":"","family":"Zhang","given":"Jianguo","non-dropping-particle":"","parse-names":false,"suffix":""}],"container-title":"Journal of the Science of Food and Agriculture","id":"ITEM-1","issue":"12","issued":{"date-parts":[["2021"]]},"page":"5028-5037","title":"Effects of re-ensiling on the fermentation quality and microbial community of napier grass (Pennisetum purpureum) silage","type":"article-journal","volume":"101"},"uris":["http://www.mendeley.com/documents/?uuid=02c35a51-5deb-426b-8482-8fdbd92f0ee5"]}],"mendeley":{"formattedCitation":"(Yin et al., 2021)","manualFormatting":"Yin et al. (2021)","plainTextFormattedCitation":"(Yin et al., 2021)","previouslyFormattedCitation":"(Yin et al., 2021)"},"properties":{"noteIndex":0},"schema":"https://github.com/citation-style-language/schema/raw/master/csl-citation.json"}</w:instrText>
      </w:r>
      <w:r w:rsidR="00A51F09" w:rsidRPr="00A51F09">
        <w:fldChar w:fldCharType="separate"/>
      </w:r>
      <w:r w:rsidR="00A51F09" w:rsidRPr="00A51F09">
        <w:t xml:space="preserve">Yin </w:t>
      </w:r>
      <w:r w:rsidR="00F37D33" w:rsidRPr="00F37D33">
        <w:rPr>
          <w:i/>
          <w:iCs/>
        </w:rPr>
        <w:t>et al</w:t>
      </w:r>
      <w:r w:rsidR="00A51F09" w:rsidRPr="00A51F09">
        <w:t>. (2021)</w:t>
      </w:r>
      <w:r w:rsidR="00A51F09" w:rsidRPr="00A51F09">
        <w:fldChar w:fldCharType="end"/>
      </w:r>
      <w:r w:rsidR="00A51F09" w:rsidRPr="00A51F09">
        <w:t xml:space="preserve"> </w:t>
      </w:r>
      <w:r>
        <w:rPr>
          <w:color w:val="252525"/>
        </w:rPr>
        <w:t xml:space="preserve">where napier grass re-ensiling silage experienced an increase in </w:t>
      </w:r>
      <w:r w:rsidRPr="00CE6E58">
        <w:rPr>
          <w:i/>
          <w:iCs/>
          <w:color w:val="252525"/>
        </w:rPr>
        <w:t>Lactobacillus</w:t>
      </w:r>
      <w:r>
        <w:rPr>
          <w:color w:val="252525"/>
        </w:rPr>
        <w:t>, reaching 94.8%.</w:t>
      </w:r>
    </w:p>
    <w:p w14:paraId="5561F1C7" w14:textId="77777777" w:rsidR="00CE6E58" w:rsidRPr="00CE6E58" w:rsidRDefault="00CE6E58" w:rsidP="00CE6E58">
      <w:pPr>
        <w:pStyle w:val="NormalWeb"/>
        <w:spacing w:before="0" w:beforeAutospacing="0" w:after="0" w:afterAutospacing="0" w:line="360" w:lineRule="auto"/>
        <w:jc w:val="both"/>
        <w:rPr>
          <w:color w:val="252525"/>
        </w:rPr>
      </w:pPr>
    </w:p>
    <w:p w14:paraId="41D9D795" w14:textId="77777777" w:rsidR="00CE6E58" w:rsidRDefault="00CE6E58" w:rsidP="00CE6E58">
      <w:pPr>
        <w:numPr>
          <w:ilvl w:val="1"/>
          <w:numId w:val="4"/>
        </w:numPr>
        <w:ind w:left="426"/>
      </w:pPr>
      <w:r>
        <w:t>Physical Quality</w:t>
      </w:r>
    </w:p>
    <w:p w14:paraId="02B4CAD6" w14:textId="77777777" w:rsidR="001175AD" w:rsidRDefault="00CE6E58" w:rsidP="00CD341D">
      <w:pPr>
        <w:pStyle w:val="NormalWeb"/>
        <w:spacing w:before="0" w:beforeAutospacing="0" w:after="0" w:afterAutospacing="0" w:line="480" w:lineRule="auto"/>
        <w:ind w:firstLine="426"/>
        <w:jc w:val="both"/>
        <w:rPr>
          <w:color w:val="252525"/>
        </w:rPr>
      </w:pPr>
      <w:r w:rsidRPr="00CE6E58">
        <w:rPr>
          <w:color w:val="252525"/>
        </w:rPr>
        <w:t>The physical quality of the silage fermented for 14 days showed good quality, characterized by a dark green color, a sour aroma, and a slightly hard, non-slimy texture. After fermentation, the color of the leaves changes to become darker. The final color of the silage is determined by the type of forage used</w:t>
      </w:r>
      <w:r>
        <w:rPr>
          <w:color w:val="252525"/>
        </w:rPr>
        <w:t xml:space="preserve"> </w:t>
      </w:r>
      <w:r w:rsidR="00A51F09" w:rsidRPr="00A51F09">
        <w:fldChar w:fldCharType="begin" w:fldLock="1"/>
      </w:r>
      <w:r w:rsidR="00A51F09" w:rsidRPr="00A51F09">
        <w:instrText>ADDIN CSL_CITATION {"citationItems":[{"id":"ITEM-1","itemData":{"DOI":"10.1088/1755-1315/465/1/012022","ISSN":"17551315","abstract":"The purpose of this study was to determine the physical characteristics of complete silage made from forage sorghum, king grass and natural grass. This research was conducted at the Faculty of Agriculture, Timor University, Kefamenanu-East Nusa Tenggara (NTT) for 3 months, including preparation, adaptation, and data collection. The study used a completely randomized design with 3 treatments and 4 replications. Each treatment included TI: sorghum 45% + lamtoro 20% + corn flour 25% + bran pollard 10%; T2: 45% natural grass + 20% lamtoro + 25% corn flour + 10% bran pollard and T3: king grass 45% + lamtoro 20% + corn flour 25% + bran pollard 10%. The parameters measured were the physical characteristics of complete silage in the form of color, texture, aroma, and the presence of fungus using panelists and the degree of acidity measured by a pH meter. Data were analyzed based on analysis of variance procedures.The results showed that the use of different forage sources as a base material in making complete silage had a significant effect (P &lt;0.05) on the silage color and the presence of fungus but it did not affect the texture, aroma and acidity. It was concluded that the use of sorghum in making complete silage displayed the best physical characteristics characterized by natural green/yellowish green, dense textured, acidic (still fresh), pH 4.3 and the absence of fungus.","author":[{"dropping-particle":"","family":"Tahuk","given":"Paulus Klau","non-dropping-particle":"","parse-names":false,"suffix":""},{"dropping-particle":"","family":"Bira","given":"Gerson Frans","non-dropping-particle":"","parse-names":false,"suffix":""},{"dropping-particle":"","family":"Taga","given":"Hendrik","non-dropping-particle":"","parse-names":false,"suffix":""}],"container-title":"IOP Conference Series: Earth and Environmental Science","id":"ITEM-1","issue":"1","issued":{"date-parts":[["2020"]]},"title":"Physical Characteristics Analysis of Complete Silage Made of Sorghum Forage, King Grass and Natural Grass","type":"article-journal","volume":"465"},"uris":["http://www.mendeley.com/documents/?uuid=178c6a32-0d1c-4492-a0eb-6a58f903df4f"]}],"mendeley":{"formattedCitation":"(Tahuk et al., 2020)","plainTextFormattedCitation":"(Tahuk et al., 2020)","previouslyFormattedCitation":"(Tahuk et al., 2020)"},"properties":{"noteIndex":0},"schema":"https://github.com/citation-style-language/schema/raw/master/csl-citation.json"}</w:instrText>
      </w:r>
      <w:r w:rsidR="00A51F09" w:rsidRPr="00A51F09">
        <w:fldChar w:fldCharType="separate"/>
      </w:r>
      <w:r w:rsidR="00A51F09" w:rsidRPr="00A51F09">
        <w:t xml:space="preserve">(Tahuk </w:t>
      </w:r>
      <w:r w:rsidR="00F37D33" w:rsidRPr="00F37D33">
        <w:rPr>
          <w:i/>
          <w:iCs/>
        </w:rPr>
        <w:t>et al</w:t>
      </w:r>
      <w:r w:rsidR="00CB5660" w:rsidRPr="00CB5660">
        <w:t>.</w:t>
      </w:r>
      <w:r w:rsidR="00A51F09" w:rsidRPr="00A51F09">
        <w:t xml:space="preserve"> 2020)</w:t>
      </w:r>
      <w:r w:rsidR="00A51F09" w:rsidRPr="00A51F09">
        <w:fldChar w:fldCharType="end"/>
      </w:r>
      <w:r w:rsidR="00A51F09" w:rsidRPr="00A51F09">
        <w:t xml:space="preserve">. </w:t>
      </w:r>
      <w:r>
        <w:rPr>
          <w:color w:val="252525"/>
        </w:rPr>
        <w:t xml:space="preserve">The color change </w:t>
      </w:r>
      <w:r>
        <w:rPr>
          <w:color w:val="252525"/>
        </w:rPr>
        <w:lastRenderedPageBreak/>
        <w:t>in silage is influenced by the Maillard reaction that occurs during the fermentation process</w:t>
      </w:r>
      <w:r w:rsidR="00A51F09" w:rsidRPr="00A51F09">
        <w:t xml:space="preserve"> </w:t>
      </w:r>
      <w:r w:rsidR="00A51F09" w:rsidRPr="00A51F09">
        <w:fldChar w:fldCharType="begin" w:fldLock="1"/>
      </w:r>
      <w:r w:rsidR="00A51F09" w:rsidRPr="00A51F09">
        <w:instrText>ADDIN CSL_CITATION {"citationItems":[{"id":"ITEM-1","itemData":{"DOI":"10.3168/jds.2017-13909","ISSN":"15253198","PMID":"29685275","abstract":"The goal of making silage is to produce a stable feed with a high recovery of dry matter, energy, and highly digestible nutrients compared with the fresh crop. Microbial fermentation in the silo produces an array of end products and can change many nutritive aspects of a forage. High-quality silage should be void of undesirable compounds that could negatively affect animal performance, the environment, or net farm income. This review discusses the interpretation of the common fermentation end products, microbial populations, organoleptic properties, and changes in nutritive aspects of silages during storage of silages with emphasis on a North American perspective.","author":[{"dropping-particle":"","family":"Kung","given":"Limin","non-dropping-particle":"","parse-names":false,"suffix":""},{"dropping-particle":"","family":"Shaver","given":"R. D.","non-dropping-particle":"","parse-names":false,"suffix":""},{"dropping-particle":"","family":"Grant","given":"R. J.","non-dropping-particle":"","parse-names":false,"suffix":""},{"dropping-particle":"","family":"Schmidt","given":"R. J.","non-dropping-particle":"","parse-names":false,"suffix":""}],"container-title":"Journal of Dairy Science","id":"ITEM-1","issue":"5","issued":{"date-parts":[["2018","5","1"]]},"page":"4020-4033","publisher":"Elsevier Inc.","title":"Silage review: Interpretation of chemical, microbial, and organoleptic components of silages","type":"article","volume":"101"},"uris":["http://www.mendeley.com/documents/?uuid=d897053d-90c6-3ae3-b2af-c7f0d47cacaa"]}],"mendeley":{"formattedCitation":"(Kung et al., 2018)","plainTextFormattedCitation":"(Kung et al., 2018)","previouslyFormattedCitation":"(Kung et al., 2018)"},"properties":{"noteIndex":0},"schema":"https://github.com/citation-style-language/schema/raw/master/csl-citation.json"}</w:instrText>
      </w:r>
      <w:r w:rsidR="00A51F09" w:rsidRPr="00A51F09">
        <w:fldChar w:fldCharType="separate"/>
      </w:r>
      <w:r w:rsidR="00A51F09" w:rsidRPr="00A51F09">
        <w:t xml:space="preserve">(Kung </w:t>
      </w:r>
      <w:r w:rsidR="00F37D33" w:rsidRPr="00F37D33">
        <w:rPr>
          <w:i/>
          <w:iCs/>
        </w:rPr>
        <w:t>et al</w:t>
      </w:r>
      <w:r w:rsidR="00CB5660" w:rsidRPr="00CB5660">
        <w:t>.</w:t>
      </w:r>
      <w:r w:rsidR="00A51F09" w:rsidRPr="00A51F09">
        <w:t xml:space="preserve"> 2018)</w:t>
      </w:r>
      <w:r w:rsidR="00A51F09" w:rsidRPr="00A51F09">
        <w:fldChar w:fldCharType="end"/>
      </w:r>
      <w:r w:rsidR="00A51F09" w:rsidRPr="00A51F09">
        <w:t>.</w:t>
      </w:r>
    </w:p>
    <w:p w14:paraId="2BD1FE55" w14:textId="1CA14C25" w:rsidR="001175AD" w:rsidRDefault="001175AD" w:rsidP="00CD341D">
      <w:pPr>
        <w:pStyle w:val="NormalWeb"/>
        <w:spacing w:before="0" w:beforeAutospacing="0" w:after="0" w:afterAutospacing="0" w:line="480" w:lineRule="auto"/>
        <w:ind w:firstLine="426"/>
        <w:jc w:val="both"/>
        <w:rPr>
          <w:color w:val="252525"/>
        </w:rPr>
      </w:pPr>
      <w:r>
        <w:rPr>
          <w:color w:val="252525"/>
        </w:rPr>
        <w:t xml:space="preserve">The overall aroma of the silage produced in this study was slightly sour and sweet. The soft, sour aroma is caused by the production of acetic acid by heterofermentative lactic acid bacteria, which ferment hexoses into lactic acid and other products such as acetic acid and ethanol, which can react with the acid in the silage to produce esters, thereby adding a fruity aroma </w:t>
      </w:r>
      <w:r w:rsidR="00A51F09" w:rsidRPr="00A51F09">
        <w:fldChar w:fldCharType="begin" w:fldLock="1"/>
      </w:r>
      <w:r w:rsidR="00A51F09" w:rsidRPr="00A51F09">
        <w:instrText>ADDIN CSL_CITATION {"citationItems":[{"id":"ITEM-1","itemData":{"DOI":"10.3168/jds.2017-13909","ISSN":"15253198","PMID":"29685275","abstract":"The goal of making silage is to produce a stable feed with a high recovery of dry matter, energy, and highly digestible nutrients compared with the fresh crop. Microbial fermentation in the silo produces an array of end products and can change many nutritive aspects of a forage. High-quality silage should be void of undesirable compounds that could negatively affect animal performance, the environment, or net farm income. This review discusses the interpretation of the common fermentation end products, microbial populations, organoleptic properties, and changes in nutritive aspects of silages during storage of silages with emphasis on a North American perspective.","author":[{"dropping-particle":"","family":"Kung","given":"Limin","non-dropping-particle":"","parse-names":false,"suffix":""},{"dropping-particle":"","family":"Shaver","given":"R. D.","non-dropping-particle":"","parse-names":false,"suffix":""},{"dropping-particle":"","family":"Grant","given":"R. J.","non-dropping-particle":"","parse-names":false,"suffix":""},{"dropping-particle":"","family":"Schmidt","given":"R. J.","non-dropping-particle":"","parse-names":false,"suffix":""}],"container-title":"Journal of Dairy Science","id":"ITEM-1","issue":"5","issued":{"date-parts":[["2018","5","1"]]},"page":"4020-4033","publisher":"Elsevier Inc.","title":"Silage review: Interpretation of chemical, microbial, and organoleptic components of silages","type":"article","volume":"101"},"uris":["http://www.mendeley.com/documents/?uuid=d10126cf-08ca-372e-a544-2b3e91da98ff"]}],"mendeley":{"formattedCitation":"(Kung et al., 2018)","plainTextFormattedCitation":"(Kung et al., 2018)","previouslyFormattedCitation":"(Kung et al., 2018)"},"properties":{"noteIndex":0},"schema":"https://github.com/citation-style-language/schema/raw/master/csl-citation.json"}</w:instrText>
      </w:r>
      <w:r w:rsidR="00A51F09" w:rsidRPr="00A51F09">
        <w:fldChar w:fldCharType="separate"/>
      </w:r>
      <w:r w:rsidR="00A51F09" w:rsidRPr="00A51F09">
        <w:t xml:space="preserve">(Kung </w:t>
      </w:r>
      <w:r w:rsidR="00F37D33" w:rsidRPr="00F37D33">
        <w:rPr>
          <w:i/>
          <w:iCs/>
        </w:rPr>
        <w:t>et al</w:t>
      </w:r>
      <w:r w:rsidR="00CB5660" w:rsidRPr="00CB5660">
        <w:t>.</w:t>
      </w:r>
      <w:r w:rsidR="00A51F09" w:rsidRPr="00A51F09">
        <w:t xml:space="preserve"> 2018)</w:t>
      </w:r>
      <w:r w:rsidR="00A51F09" w:rsidRPr="00A51F09">
        <w:fldChar w:fldCharType="end"/>
      </w:r>
      <w:r w:rsidR="00A51F09" w:rsidRPr="00A51F09">
        <w:t xml:space="preserve">. </w:t>
      </w:r>
      <w:r>
        <w:rPr>
          <w:color w:val="252525"/>
        </w:rPr>
        <w:t xml:space="preserve">In this study, all silage produced a slightly hard texture and was not slimy. Silage with a high water content (&gt;80%) will show a slimy and soft texture, while silage with a low water content (&lt;30%) will have a dry texture </w:t>
      </w:r>
      <w:r w:rsidR="00A51F09" w:rsidRPr="00A51F09">
        <w:fldChar w:fldCharType="begin" w:fldLock="1"/>
      </w:r>
      <w:r w:rsidR="00A51F09" w:rsidRPr="00A51F09">
        <w:instrText>ADDIN CSL_CITATION {"citationItems":[{"id":"ITEM-1","itemData":{"DOI":"10.1088/1755-1315/465/1/012022","ISSN":"17551315","abstract":"The purpose of this study was to determine the physical characteristics of complete silage made from forage sorghum, king grass and natural grass. This research was conducted at the Faculty of Agriculture, Timor University, Kefamenanu-East Nusa Tenggara (NTT) for 3 months, including preparation, adaptation, and data collection. The study used a completely randomized design with 3 treatments and 4 replications. Each treatment included TI: sorghum 45% + lamtoro 20% + corn flour 25% + bran pollard 10%; T2: 45% natural grass + 20% lamtoro + 25% corn flour + 10% bran pollard and T3: king grass 45% + lamtoro 20% + corn flour 25% + bran pollard 10%. The parameters measured were the physical characteristics of complete silage in the form of color, texture, aroma, and the presence of fungus using panelists and the degree of acidity measured by a pH meter. Data were analyzed based on analysis of variance procedures.The results showed that the use of different forage sources as a base material in making complete silage had a significant effect (P &lt;0.05) on the silage color and the presence of fungus but it did not affect the texture, aroma and acidity. It was concluded that the use of sorghum in making complete silage displayed the best physical characteristics characterized by natural green/yellowish green, dense textured, acidic (still fresh), pH 4.3 and the absence of fungus.","author":[{"dropping-particle":"","family":"Tahuk","given":"Paulus Klau","non-dropping-particle":"","parse-names":false,"suffix":""},{"dropping-particle":"","family":"Bira","given":"Gerson Frans","non-dropping-particle":"","parse-names":false,"suffix":""},{"dropping-particle":"","family":"Taga","given":"Hendrik","non-dropping-particle":"","parse-names":false,"suffix":""}],"container-title":"IOP Conference Series: Earth and Environmental Science","id":"ITEM-1","issue":"1","issued":{"date-parts":[["2020"]]},"title":"Physical Characteristics Analysis of Complete Silage Made of Sorghum Forage, King Grass and Natural Grass","type":"article-journal","volume":"465"},"uris":["http://www.mendeley.com/documents/?uuid=178c6a32-0d1c-4492-a0eb-6a58f903df4f"]}],"mendeley":{"formattedCitation":"(Tahuk et al., 2020)","plainTextFormattedCitation":"(Tahuk et al., 2020)","previouslyFormattedCitation":"(Tahuk et al., 2020)"},"properties":{"noteIndex":0},"schema":"https://github.com/citation-style-language/schema/raw/master/csl-citation.json"}</w:instrText>
      </w:r>
      <w:r w:rsidR="00A51F09" w:rsidRPr="00A51F09">
        <w:fldChar w:fldCharType="separate"/>
      </w:r>
      <w:r w:rsidR="00A51F09" w:rsidRPr="00A51F09">
        <w:t xml:space="preserve">(Tahuk </w:t>
      </w:r>
      <w:r w:rsidR="00F37D33" w:rsidRPr="00F37D33">
        <w:rPr>
          <w:i/>
          <w:iCs/>
        </w:rPr>
        <w:t>et al</w:t>
      </w:r>
      <w:r w:rsidR="00CB5660" w:rsidRPr="00CB5660">
        <w:t>.</w:t>
      </w:r>
      <w:r w:rsidR="00A51F09" w:rsidRPr="00A51F09">
        <w:t xml:space="preserve"> 2020)</w:t>
      </w:r>
      <w:r w:rsidR="00A51F09" w:rsidRPr="00A51F09">
        <w:fldChar w:fldCharType="end"/>
      </w:r>
      <w:r w:rsidR="00A51F09" w:rsidRPr="00A51F09">
        <w:t xml:space="preserve">. </w:t>
      </w:r>
      <w:r>
        <w:rPr>
          <w:color w:val="252525"/>
        </w:rPr>
        <w:t xml:space="preserve">Apart from that, the texture of silage is also influenced by the fiber source used as silage material </w:t>
      </w:r>
      <w:r w:rsidR="00A51F09" w:rsidRPr="00A51F09">
        <w:fldChar w:fldCharType="begin" w:fldLock="1"/>
      </w:r>
      <w:r w:rsidR="00A51F09" w:rsidRPr="00A51F09">
        <w:instrText>ADDIN CSL_CITATION {"citationItems":[{"id":"ITEM-1","itemData":{"DOI":"10.3923/pjn.2020.166.171","ISSN":"16805194","abstract":"Background and Objective: Forage, as a source of fiber for ruminants, consists of fresh forages (grass and legumes) and agricultural wastes such as corn straw and rice straw. The weaknesses of agricultural wastes are their high crude fiber content and low protein content, which limit their use as ruminant feed. Fermentation technology or silage can be applied to make these agricultural wastes usable. Silage can increase the nutritional value of agricultural wastes and the silage can be stored for a long time (up to one year) for use as feed during the dry season. This study aimed to compare physical and nutritional characteristics and in vitro digestibility of silages from various sources of fiber, such as elephant grass, native grasses, corn straw and rice straw. Materials and Methods: The study used a completely randomized design (CRD) with four treatments and five replications. The four silage treatments were treatment A: Silage with elephant grass as the fiber source, B: Silage with native grasses as the fiber source, C: Silage with corn straw as the fiber source and D: Silage with rice straw as the fiber source. The silage was made using 10% molasses and 10% pollard as additives. The observed variables were acidity (pH), physical characteristics, chemical characteristics and in vitro digestibility. Results: The experiment showed that the pH values of silage from elephant grass, native grasses, corn straw and rice straw ranged from 4.01-4.58, which met the criteria for good silage. The physical characteristics, i.e., fungus, texture, color and odor, met the criteria for good to moderate silage. The highest dry matter and ash contents were observed in treatment D and were significantly different from those in the other treatments. In addition, the highest organic matter and water contents were observed in treatment C and were significantly different from those in the other treatments. The experiment showed that elephant grass silage had the highest in vitro digestibility for dry and organic matter but there was no significant difference in digestibility between elephant grass silage and corn straw silage and the highest vollatil fatty acid (VFA) and ammonia (NH3 ) levels were observed in elephant grass silage. Conclusion: Silage with corn straw as the fiber source tends to provide the best results in terms of physical and nutritional characteristics and In vitro digestibility.","author":[{"dropping-particle":"","family":"Trisnadewi","given":"Anak Agung Ayu Sri","non-dropping-particle":"","parse-names":false,"suffix":""},{"dropping-particle":"","family":"Cakra","given":"I Gusti Lanang Oka","non-dropping-particle":"","parse-names":false,"suffix":""}],"container-title":"Pakistan Journal of Nutrition","id":"ITEM-1","issue":"4","issued":{"date-parts":[["2020"]]},"page":"166-171","title":"Physical Characteristics, Nutritional Qualities and In vitro Digestibility of Silage From Various Sources of Fiber","type":"article-journal","volume":"19"},"uris":["http://www.mendeley.com/documents/?uuid=604f2b88-211c-4267-9281-52a58aacb711"]}],"mendeley":{"formattedCitation":"(Trisnadewi &amp; Cakra, 2020)","plainTextFormattedCitation":"(Trisnadewi &amp; Cakra, 2020)","previouslyFormattedCitation":"(Trisnadewi &amp; Cakra, 2020)"},"properties":{"noteIndex":0},"schema":"https://github.com/citation-style-language/schema/raw/master/csl-citation.json"}</w:instrText>
      </w:r>
      <w:r w:rsidR="00A51F09" w:rsidRPr="00A51F09">
        <w:fldChar w:fldCharType="separate"/>
      </w:r>
      <w:r w:rsidR="00A51F09" w:rsidRPr="00A51F09">
        <w:t>(Trisnadewi &amp; Cakra, 2020)</w:t>
      </w:r>
      <w:r w:rsidR="00A51F09" w:rsidRPr="00A51F09">
        <w:fldChar w:fldCharType="end"/>
      </w:r>
      <w:r w:rsidR="00A51F09" w:rsidRPr="00A51F09">
        <w:t>.</w:t>
      </w:r>
      <w:r w:rsidR="00A51F09" w:rsidRPr="00A51F09">
        <w:rPr>
          <w:lang w:val="id-ID"/>
        </w:rPr>
        <w:t xml:space="preserve"> </w:t>
      </w:r>
      <w:r>
        <w:rPr>
          <w:color w:val="252525"/>
        </w:rPr>
        <w:t xml:space="preserve">Based on the results of proximate analysis, the crude fiber content in </w:t>
      </w:r>
      <w:r w:rsidR="00DF6F2F" w:rsidRPr="00DF6F2F">
        <w:rPr>
          <w:color w:val="252525"/>
        </w:rPr>
        <w:t>ramie</w:t>
      </w:r>
      <w:r>
        <w:rPr>
          <w:color w:val="252525"/>
        </w:rPr>
        <w:t xml:space="preserve"> leaves is 38.31%. The high fiber content in </w:t>
      </w:r>
      <w:r w:rsidR="00DF6F2F" w:rsidRPr="00DF6F2F">
        <w:rPr>
          <w:color w:val="252525"/>
        </w:rPr>
        <w:t>ramie</w:t>
      </w:r>
      <w:r>
        <w:rPr>
          <w:color w:val="252525"/>
        </w:rPr>
        <w:t xml:space="preserve"> leaves produces silage with a slightly hard texture.</w:t>
      </w:r>
    </w:p>
    <w:p w14:paraId="6033FB78" w14:textId="77777777" w:rsidR="001175AD" w:rsidRDefault="001175AD" w:rsidP="00CD341D">
      <w:pPr>
        <w:pStyle w:val="NormalWeb"/>
        <w:spacing w:before="0" w:beforeAutospacing="0" w:after="0" w:afterAutospacing="0" w:line="480" w:lineRule="auto"/>
        <w:ind w:firstLine="426"/>
        <w:jc w:val="both"/>
        <w:rPr>
          <w:color w:val="252525"/>
        </w:rPr>
      </w:pPr>
      <w:r>
        <w:rPr>
          <w:color w:val="252525"/>
        </w:rPr>
        <w:t xml:space="preserve">After aerobic exposure for 3 days, fungal growth was observed on the outer surface of the silage, which was exposed to air. This is because the yeast's organic acid metabolism pathway begins with silage oxygenation, which can reduce the concentration of lactic acid and increase the pH </w:t>
      </w:r>
      <w:r w:rsidR="00A51F09" w:rsidRPr="00A51F09">
        <w:fldChar w:fldCharType="begin" w:fldLock="1"/>
      </w:r>
      <w:r w:rsidR="00A51F09" w:rsidRPr="00A51F09">
        <w:instrText>ADDIN CSL_CITATION {"citationItems":[{"id":"ITEM-1","itemData":{"DOI":"10.3389/fmicb.2020.519121","ISSN":"1664302X","abstract":"Both inoculants treatment and enzyme treatment promote the reproduction of lactic acid bacteria (LAB) to produce enough lactic acid to lower pH in silage. The present study investigated the microbial community and metabolome in cellulase, Lactobacillus casei, and air treated alfalfa silage. Chopped and wilted alfalfa (first cutting, 29% dry matter) was ensiled without (CON) or with L. casei (1 × 106 cfu g–1 fresh matter) (LC) or cellulase (20,000IU, 0.5% of fresh matter) (CE) for 56 days, then exposed to air for 3 days (PO). Greater ensiling quality was observed in LC and CE, which had lower pH and higher lactic acid content than CON at 56 days of ensiling and 3 days post-oxygen exposure. Air exposure was associated with decreased lactic acid concentrations and increased yeast and mold counts in all silages. SEM showed that the structure of leaf epicuticular wax crystals were intact in fresh alfalfa, totally decomposed in CON silage, and partly preserved in CE and LC silage. Gas chromatography mass spectrometry revealed that 196 metabolites and 95 differential concentration were present in the 3 days air exposure samples. Most of these metabolites, mainly organic acids, polyols, ketones, aldehydes, are capable of antimicrobial activity. The bacterial communities were obviously different among groups and Lactobacillus developed to a dominant status in all silages. Lactobacillus became dominant in bacterial communities of LC and CE silages from days 7 to 56, and their relative abundances reached 94.17–83.93% at day 56, respectively. For CON silage, until day 56, Lactobacillus dominated the bacterial community with abundance of 75.10%. After 3 days of oxygen exposure, Lactobacillus and Enterococcus were predominant in CON, and Lactobacillus remained dominant in LC and CE silages. The results indicated that, compared to untreated silages, L. casei could be a priority inoculant for alfalfa silage to boost Lactobacillus abundance and improve fermentation quality. Our high-throughput sequencing and gas chromatography mass spectrometry results provide a deep insight into the bacterial community and metabolites in alfalfa silage.","author":[{"dropping-particle":"","family":"Hu","given":"Zongfu","non-dropping-particle":"","parse-names":false,"suffix":""},{"dropping-particle":"","family":"Niu","given":"Huaxin","non-dropping-particle":"","parse-names":false,"suffix":""},{"dropping-particle":"","family":"Tong","given":"Qing","non-dropping-particle":"","parse-names":false,"suffix":""},{"dropping-particle":"","family":"Chang","given":"Jie","non-dropping-particle":"","parse-names":false,"suffix":""},{"dropping-particle":"","family":"Yu","given":"Jianhua","non-dropping-particle":"","parse-names":false,"suffix":""},{"dropping-particle":"","family":"Li","given":"Shuguo","non-dropping-particle":"","parse-names":false,"suffix":""},{"dropping-particle":"","family":"Zhang","given":"Shi","non-dropping-particle":"","parse-names":false,"suffix":""},{"dropping-particle":"","family":"Ma","given":"Deying","non-dropping-particle":"","parse-names":false,"suffix":""}],"container-title":"Frontiers in Microbiology","id":"ITEM-1","issued":{"date-parts":[["2020","11","26"]]},"publisher":"Frontiers Media S.A.","title":"The Microbiota Dynamics of Alfalfa Silage During Ensiling and After Air Exposure, and the Metabolomics After Air Exposure Are Affected by Lactobacillus casei and Cellulase Addition","type":"article-journal","volume":"11"},"uris":["http://www.mendeley.com/documents/?uuid=49132d70-bd4e-3a34-8bc9-f26be4805231"]}],"mendeley":{"formattedCitation":"(Hu et al., 2020)","plainTextFormattedCitation":"(Hu et al., 2020)","previouslyFormattedCitation":"(Hu et al., 2020)"},"properties":{"noteIndex":0},"schema":"https://github.com/citation-style-language/schema/raw/master/csl-citation.json"}</w:instrText>
      </w:r>
      <w:r w:rsidR="00A51F09" w:rsidRPr="00A51F09">
        <w:fldChar w:fldCharType="separate"/>
      </w:r>
      <w:r w:rsidR="00A51F09" w:rsidRPr="00A51F09">
        <w:t xml:space="preserve">(Hu </w:t>
      </w:r>
      <w:r w:rsidR="00F37D33" w:rsidRPr="00F37D33">
        <w:rPr>
          <w:i/>
          <w:iCs/>
        </w:rPr>
        <w:t>et al</w:t>
      </w:r>
      <w:r w:rsidR="00CB5660" w:rsidRPr="00CB5660">
        <w:t>.</w:t>
      </w:r>
      <w:r w:rsidR="00A51F09" w:rsidRPr="00A51F09">
        <w:t xml:space="preserve"> 2020)</w:t>
      </w:r>
      <w:r w:rsidR="00A51F09" w:rsidRPr="00A51F09">
        <w:fldChar w:fldCharType="end"/>
      </w:r>
      <w:r w:rsidR="00A51F09" w:rsidRPr="00A51F09">
        <w:t xml:space="preserve">. </w:t>
      </w:r>
      <w:r>
        <w:rPr>
          <w:color w:val="252525"/>
        </w:rPr>
        <w:t xml:space="preserve">The ensiled material is an excellent substrate for fungal growth when exposed to air </w:t>
      </w:r>
      <w:r w:rsidR="00A51F09" w:rsidRPr="00A51F09">
        <w:fldChar w:fldCharType="begin" w:fldLock="1"/>
      </w:r>
      <w:r w:rsidR="00A51F09" w:rsidRPr="00A51F09">
        <w:instrText>ADDIN CSL_CITATION {"citationItems":[{"id":"ITEM-1","itemData":{"DOI":"10.1016/j.ijfoodmicro.2022.109556","ISBN":"6412250661308","ISSN":"18793460","PMID":"35124380","abstract":"Maize and grass silages are important dietary components for ruminant livestock that influence the quality of animal products for human consumption, such as milk, in many parts of the world. Infection of plants by fungi able to produce mycotoxins, either in the field or post-harvest, can result in a decrease of silage nutritional quality and, consequently, in milk quality. In this study, 45 maize and grass silage samples were collected from 25 dairy farms located in the north of Portugal. The occurrence of fungi was evaluated in samples, the most frequently isolated species being Aspergillus fumigatus, Dipodascus geotrichum, Mucor circinelloides, Penicillium paneum, and Aspergillus flavus. The mycotoxigenic profile of the fungal species was studied using the ultra-high-performance liquid chromatography coupled to mass spectrometry–ion trap–time-of-flight (UHPLC–MS–IT–TOF) detection. In addition, a new method based on a QuEChERS extraction followed by the UHPLC- tandem mass spectrometry (UHPLC-MS/MS) detection was developed for simultaneous analysis of 39 mycotoxins in silage. A high co-occurrence of Fusarium mycotoxins was found, although at low levels of contamination. Deoxynivalenol and beauvericin were found in more than 82% of maize silage samples. It can be highlighted the low occurrence of Penicillium and Aspergillus toxins in the maize and grass silages studied despite the frequent detection of species of both genera.","author":[{"dropping-particle":"","family":"González-Jartín","given":"Jesús M.","non-dropping-particle":"","parse-names":false,"suffix":""},{"dropping-particle":"","family":"Ferreiroa","given":"Vanesa","non-dropping-particle":"","parse-names":false,"suffix":""},{"dropping-particle":"","family":"Rodríguez-Cañás","given":"Inés","non-dropping-particle":"","parse-names":false,"suffix":""},{"dropping-particle":"","family":"Alfonso","given":"Amparo","non-dropping-particle":"","parse-names":false,"suffix":""},{"dropping-particle":"","family":"Sainz","given":"María J.","non-dropping-particle":"","parse-names":false,"suffix":""},{"dropping-particle":"","family":"Aguín","given":"Olga","non-dropping-particle":"","parse-names":false,"suffix":""},{"dropping-particle":"","family":"Vieytes","given":"Mercedes R.","non-dropping-particle":"","parse-names":false,"suffix":""},{"dropping-particle":"","family":"Gomes","given":"Ana","non-dropping-particle":"","parse-names":false,"suffix":""},{"dropping-particle":"","family":"Ramos","given":"Isabel","non-dropping-particle":"","parse-names":false,"suffix":""},{"dropping-particle":"","family":"Botana","given":"Luis M.","non-dropping-particle":"","parse-names":false,"suffix":""}],"container-title":"International Journal of Food Microbiology","id":"ITEM-1","issued":{"date-parts":[["2022"]]},"title":"Occurrence of mycotoxins and mycotoxigenic fungi in silage from the north of Portugal at feed-out","type":"article-journal","volume":"365"},"uris":["http://www.mendeley.com/documents/?uuid=d5ba3d10-dd88-4483-9ce3-94b1f45303b3"]}],"mendeley":{"formattedCitation":"(González-Jartín et al., 2022)","plainTextFormattedCitation":"(González-Jartín et al., 2022)","previouslyFormattedCitation":"(González-Jartín et al., 2022)"},"properties":{"noteIndex":0},"schema":"https://github.com/citation-style-language/schema/raw/master/csl-citation.json"}</w:instrText>
      </w:r>
      <w:r w:rsidR="00A51F09" w:rsidRPr="00A51F09">
        <w:fldChar w:fldCharType="separate"/>
      </w:r>
      <w:r w:rsidR="00A51F09" w:rsidRPr="00A51F09">
        <w:t xml:space="preserve">(González-Jartín </w:t>
      </w:r>
      <w:r w:rsidR="00F37D33" w:rsidRPr="00F37D33">
        <w:rPr>
          <w:i/>
          <w:iCs/>
        </w:rPr>
        <w:t>et al</w:t>
      </w:r>
      <w:r w:rsidR="00CB5660" w:rsidRPr="00CB5660">
        <w:t>.</w:t>
      </w:r>
      <w:r w:rsidR="00A51F09" w:rsidRPr="00A51F09">
        <w:t xml:space="preserve"> 2022)</w:t>
      </w:r>
      <w:r w:rsidR="00A51F09" w:rsidRPr="00A51F09">
        <w:fldChar w:fldCharType="end"/>
      </w:r>
      <w:r w:rsidR="00A51F09" w:rsidRPr="00A51F09">
        <w:t xml:space="preserve">. </w:t>
      </w:r>
      <w:r>
        <w:rPr>
          <w:color w:val="252525"/>
        </w:rPr>
        <w:t xml:space="preserve">Fungal spoilage in silage is associated with loss of nutrients and dry matter, decreased palatability, mycotoxin production, and decreased feed intake </w:t>
      </w:r>
      <w:r w:rsidR="00A51F09" w:rsidRPr="00A51F09">
        <w:fldChar w:fldCharType="begin" w:fldLock="1"/>
      </w:r>
      <w:r w:rsidR="00A51F09" w:rsidRPr="00A51F09">
        <w:instrText>ADDIN CSL_CITATION {"citationItems":[{"id":"ITEM-1","itemData":{"DOI":"10.1016/j.funbio.2019.08.006","ISSN":"18786146","PMID":"33518200","abstract":"Silages constitute a major component of the feed ration for dairy cows, being a potential source of mycotoxins due to the possible contamination by filamentous fungi capable of producing these toxic compounds. In this study, samples of different kinds of silages collected from farms located in four regions of Spain, were analysed to evaluate the occurrence of aflatoxins (AFs) and Fusarium mycotoxins. Lactic acid bacteria and fungal populations as well as pH and water activity were also studied. Penicillium, Geotrichum and Monascus were the main fungi identified in all the silages examined. The incidence of AFs was low (10 % of positive samples). Fusarium mycotoxins were detected in 40 % of the samples and fumonisins (FBs) were the most commonly detected. Maize silage was the most heavily contaminated type of silage. Levels of mycotoxins detected in positive samples did not exceed the EU guidance values. The lack of relationship between Fusarium counts and its mycotoxin concentrations suggested that mycotoxin production possibly occurred pre-ensiling or immediately post-ensiling. Outcomes showed that mould growth and mycotoxin contamination in silages should be regularly monitored in order to minimize the exposure of dairy cows to contaminated feed.","author":[{"dropping-particle":"","family":"Rodríguez-Blanco","given":"M.","non-dropping-particle":"","parse-names":false,"suffix":""},{"dropping-particle":"","family":"Ramos","given":"A. J.","non-dropping-particle":"","parse-names":false,"suffix":""},{"dropping-particle":"","family":"Sanchis","given":"V.","non-dropping-particle":"","parse-names":false,"suffix":""},{"dropping-particle":"","family":"Marín","given":"S.","non-dropping-particle":"","parse-names":false,"suffix":""}],"container-title":"Fungal Biology","id":"ITEM-1","issue":"2","issued":{"date-parts":[["2021"]]},"page":"103-114","publisher":"Elsevier Ltd","title":"Mycotoxins occurrence and fungal populations in different types of silages for dairy cows in Spain","type":"article-journal","volume":"125"},"uris":["http://www.mendeley.com/documents/?uuid=55cf3e00-2b1c-4811-80f3-5d98c56a6e88"]}],"mendeley":{"formattedCitation":"(Rodríguez-Blanco et al., 2021)","plainTextFormattedCitation":"(Rodríguez-Blanco et al., 2021)","previouslyFormattedCitation":"(Rodríguez-Blanco et al., 2021)"},"properties":{"noteIndex":0},"schema":"https://github.com/citation-style-language/schema/raw/master/csl-citation.json"}</w:instrText>
      </w:r>
      <w:r w:rsidR="00A51F09" w:rsidRPr="00A51F09">
        <w:fldChar w:fldCharType="separate"/>
      </w:r>
      <w:r w:rsidR="00A51F09" w:rsidRPr="00A51F09">
        <w:t xml:space="preserve">(Rodríguez-Blanco </w:t>
      </w:r>
      <w:r w:rsidR="00F37D33" w:rsidRPr="00F37D33">
        <w:rPr>
          <w:i/>
          <w:iCs/>
        </w:rPr>
        <w:t>et al</w:t>
      </w:r>
      <w:r w:rsidR="00CB5660" w:rsidRPr="00CB5660">
        <w:t>.</w:t>
      </w:r>
      <w:r w:rsidR="00A51F09" w:rsidRPr="00A51F09">
        <w:t xml:space="preserve"> 2021)</w:t>
      </w:r>
      <w:r w:rsidR="00A51F09" w:rsidRPr="00A51F09">
        <w:fldChar w:fldCharType="end"/>
      </w:r>
      <w:r w:rsidR="00A51F09" w:rsidRPr="00A51F09">
        <w:t xml:space="preserve">. </w:t>
      </w:r>
      <w:r>
        <w:rPr>
          <w:color w:val="252525"/>
        </w:rPr>
        <w:t xml:space="preserve">Most mycotoxins are produced by the genera </w:t>
      </w:r>
      <w:r w:rsidRPr="00AE408E">
        <w:rPr>
          <w:i/>
          <w:iCs/>
          <w:color w:val="252525"/>
        </w:rPr>
        <w:t>Aspergillus, Fusarium, Alternaria</w:t>
      </w:r>
      <w:r>
        <w:rPr>
          <w:color w:val="252525"/>
        </w:rPr>
        <w:t xml:space="preserve">, and </w:t>
      </w:r>
      <w:r w:rsidRPr="00AE408E">
        <w:rPr>
          <w:i/>
          <w:iCs/>
          <w:color w:val="252525"/>
        </w:rPr>
        <w:t>Penicillium</w:t>
      </w:r>
      <w:r>
        <w:rPr>
          <w:color w:val="252525"/>
        </w:rPr>
        <w:t xml:space="preserve"> </w:t>
      </w:r>
      <w:r w:rsidR="00A51F09" w:rsidRPr="00A51F09">
        <w:fldChar w:fldCharType="begin" w:fldLock="1"/>
      </w:r>
      <w:r w:rsidR="00A51F09" w:rsidRPr="00A51F09">
        <w:instrText>ADDIN CSL_CITATION {"citationItems":[{"id":"ITEM-1","itemData":{"DOI":"10.3168/jds.2017-13788","ISSN":"15253198","PMID":"29685276","abstract":"Ensiled forage, particularly corn silage, is an important component of dairy cow diets worldwide. Forages can be contaminated with several mycotoxins in the field pre-harvest, during storage, or after ensiling during feed-out. Exposure to dietary mycotoxins adversely affects the performance and health of livestock and can compromise human health. Several studies and surveys indicate that ruminants are often exposed to mycotoxins such as aflatoxins, trichothecenes, ochratoxin A, fumonisins, zearalenone, and many other fungal secondary metabolites, via the silage they ingest. Problems associated with mycotoxins in silage can be minimized by preventing fungal growth before and after ensiling. Proper silage management is essential to reduce mycotoxin contamination of dairy cow feeds, and certain mold-inhibiting chemical additives or microbial inoculants can also reduce the contamination levels. Several sequestering agents also can be added to diets to reduce mycotoxin levels, but their efficacy varies with the type and level of mycotoxin contamination. This article gives an overview of the types, prevalence, and levels of mycotoxin contamination in ensiled forages in different countries, and describes their adverse effects on health of ruminants, and effective prevention and mitigation strategies for dairy cow diets. Future research priorities discussed include research efforts to develop silage additives or rumen microbial innocula that degrade mycotoxins.","author":[{"dropping-particle":"","family":"Ogunade","given":"I. M.","non-dropping-particle":"","parse-names":false,"suffix":""},{"dropping-particle":"","family":"Martinez-Tuppia","given":"C.","non-dropping-particle":"","parse-names":false,"suffix":""},{"dropping-particle":"","family":"Queiroz","given":"O. C.M.","non-dropping-particle":"","parse-names":false,"suffix":""},{"dropping-particle":"","family":"Jiang","given":"Y.","non-dropping-particle":"","parse-names":false,"suffix":""},{"dropping-particle":"","family":"Drouin","given":"P.","non-dropping-particle":"","parse-names":false,"suffix":""},{"dropping-particle":"","family":"Wu","given":"F.","non-dropping-particle":"","parse-names":false,"suffix":""},{"dropping-particle":"","family":"Vyas","given":"D.","non-dropping-particle":"","parse-names":false,"suffix":""},{"dropping-particle":"","family":"Adesogan","given":"A. T.","non-dropping-particle":"","parse-names":false,"suffix":""}],"container-title":"Journal of Dairy Science","id":"ITEM-1","issue":"5","issued":{"date-parts":[["2018"]]},"page":"4034-4059","title":"Silage review: Mycotoxins in silage: Occurrence, effects, prevention, and mitigation","type":"article-journal","volume":"101"},"uris":["http://www.mendeley.com/documents/?uuid=d731c9e0-f754-439e-8809-1119a2a75481"]}],"mendeley":{"formattedCitation":"(Ogunade et al., 2018)","plainTextFormattedCitation":"(Ogunade et al., 2018)","previouslyFormattedCitation":"(Ogunade et al., 2018)"},"properties":{"noteIndex":0},"schema":"https://github.com/citation-style-language/schema/raw/master/csl-citation.json"}</w:instrText>
      </w:r>
      <w:r w:rsidR="00A51F09" w:rsidRPr="00A51F09">
        <w:fldChar w:fldCharType="separate"/>
      </w:r>
      <w:r w:rsidR="00A51F09" w:rsidRPr="00A51F09">
        <w:t xml:space="preserve">(Ogunade </w:t>
      </w:r>
      <w:r w:rsidR="00F37D33" w:rsidRPr="00F37D33">
        <w:rPr>
          <w:i/>
          <w:iCs/>
        </w:rPr>
        <w:t>et al</w:t>
      </w:r>
      <w:r w:rsidR="00CB5660" w:rsidRPr="00CB5660">
        <w:t>.</w:t>
      </w:r>
      <w:r w:rsidR="00A51F09" w:rsidRPr="00A51F09">
        <w:t xml:space="preserve"> 2018)</w:t>
      </w:r>
      <w:r w:rsidR="00A51F09" w:rsidRPr="00A51F09">
        <w:fldChar w:fldCharType="end"/>
      </w:r>
      <w:r w:rsidR="00A51F09" w:rsidRPr="00A51F09">
        <w:t xml:space="preserve">. </w:t>
      </w:r>
    </w:p>
    <w:p w14:paraId="31021A9D" w14:textId="3F00CFFA" w:rsidR="001175AD" w:rsidRDefault="001175AD" w:rsidP="00CD341D">
      <w:pPr>
        <w:pStyle w:val="NormalWeb"/>
        <w:spacing w:before="0" w:beforeAutospacing="0" w:after="0" w:afterAutospacing="0" w:line="480" w:lineRule="auto"/>
        <w:ind w:firstLine="426"/>
        <w:jc w:val="both"/>
        <w:rPr>
          <w:color w:val="252525"/>
        </w:rPr>
      </w:pPr>
      <w:r>
        <w:rPr>
          <w:color w:val="252525"/>
        </w:rPr>
        <w:t xml:space="preserve">In terms of appearance, the three silage samples show differences in leaf morphology when observed microscopically. The control silage had a dark-colored leaf cell </w:t>
      </w:r>
      <w:r>
        <w:rPr>
          <w:color w:val="252525"/>
        </w:rPr>
        <w:lastRenderedPageBreak/>
        <w:t xml:space="preserve">morphology similar to the silage with the addition of </w:t>
      </w:r>
      <w:r w:rsidR="00E00DF5">
        <w:rPr>
          <w:color w:val="252525"/>
        </w:rPr>
        <w:t>probiotic starter with heriyaki powder</w:t>
      </w:r>
      <w:r>
        <w:rPr>
          <w:color w:val="252525"/>
        </w:rPr>
        <w:t xml:space="preserve">, but different from the silage with the addition of </w:t>
      </w:r>
      <w:r w:rsidR="00E00DF5">
        <w:rPr>
          <w:color w:val="252525"/>
        </w:rPr>
        <w:t xml:space="preserve">probiotic starter with rice bran </w:t>
      </w:r>
      <w:r>
        <w:rPr>
          <w:color w:val="252525"/>
        </w:rPr>
        <w:t>, which was light green in color. The change in silage color to brown is caused by fermentation activity, which produces heat due to the oxidation reaction of the breakdown of sugar compounds by microbes.</w:t>
      </w:r>
    </w:p>
    <w:p w14:paraId="1CB7390C" w14:textId="77777777" w:rsidR="00E61478" w:rsidRPr="00BB3B7F" w:rsidRDefault="00E61478" w:rsidP="00A51F09"/>
    <w:p w14:paraId="12B173D0" w14:textId="77777777" w:rsidR="001175AD" w:rsidRDefault="001175AD" w:rsidP="001175AD">
      <w:pPr>
        <w:numPr>
          <w:ilvl w:val="1"/>
          <w:numId w:val="4"/>
        </w:numPr>
        <w:ind w:left="426" w:hanging="426"/>
      </w:pPr>
      <w:r>
        <w:t>Microbiology Analysis</w:t>
      </w:r>
    </w:p>
    <w:p w14:paraId="724E730E" w14:textId="3F30852C" w:rsidR="001175AD" w:rsidRDefault="00423CA3" w:rsidP="00CD341D">
      <w:pPr>
        <w:pStyle w:val="NormalWeb"/>
        <w:spacing w:before="0" w:beforeAutospacing="0" w:after="0" w:afterAutospacing="0" w:line="480" w:lineRule="auto"/>
        <w:jc w:val="both"/>
        <w:rPr>
          <w:color w:val="252525"/>
        </w:rPr>
      </w:pPr>
      <w:r>
        <w:rPr>
          <w:color w:val="252525"/>
        </w:rPr>
        <w:t xml:space="preserve">          </w:t>
      </w:r>
      <w:r w:rsidR="001175AD" w:rsidRPr="001175AD">
        <w:rPr>
          <w:color w:val="252525"/>
        </w:rPr>
        <w:t xml:space="preserve">The bacteria found in silage are generally a group of lactic acid bacteria (LAB), which produce organic acid products during the fermentation process, such as lactic acid, acetic acid, propionic acid, and butyric acid </w:t>
      </w:r>
      <w:r w:rsidR="00B024B7" w:rsidRPr="00BB3B7F">
        <w:t>(His</w:t>
      </w:r>
      <w:r w:rsidR="00646D46" w:rsidRPr="00BB3B7F">
        <w:t>h</w:t>
      </w:r>
      <w:r w:rsidR="00B024B7" w:rsidRPr="00BB3B7F">
        <w:t xml:space="preserve">am </w:t>
      </w:r>
      <w:r w:rsidR="00F37D33" w:rsidRPr="001175AD">
        <w:rPr>
          <w:i/>
          <w:iCs/>
        </w:rPr>
        <w:t>et al</w:t>
      </w:r>
      <w:r w:rsidR="00CB5660" w:rsidRPr="00BB3B7F">
        <w:t>.</w:t>
      </w:r>
      <w:r w:rsidR="00B024B7" w:rsidRPr="00BB3B7F">
        <w:t xml:space="preserve"> 2022). </w:t>
      </w:r>
      <w:r w:rsidR="001175AD">
        <w:rPr>
          <w:color w:val="252525"/>
        </w:rPr>
        <w:t>Lactic acid bacteria will form milky white or cream-colored colonies that are circular in shape with intact edges and convex elevations</w:t>
      </w:r>
      <w:r w:rsidR="00A51F09" w:rsidRPr="00BB3B7F">
        <w:t xml:space="preserve"> </w:t>
      </w:r>
      <w:r w:rsidR="00A51F09" w:rsidRPr="00BB3B7F">
        <w:fldChar w:fldCharType="begin" w:fldLock="1"/>
      </w:r>
      <w:r w:rsidR="00A51F09" w:rsidRPr="00BB3B7F">
        <w:instrText>ADDIN CSL_CITATION {"citationItems":[{"id":"ITEM-1","itemData":{"DOI":"10.29322/ijsrp.11.04.2021.p11209","author":[{"dropping-particle":"","family":"Ary","given":"Efrizal","non-dropping-particle":"","parse-names":false,"suffix":""},{"dropping-particle":"","family":"Dadrasnia","given":"Arezoo","non-dropping-particle":"","parse-names":false,"suffix":""},{"dropping-particle":"","family":"Ameen","given":"Fuad","non-dropping-particle":"","parse-names":false,"suffix":""},{"dropping-particle":"","family":"Alwakeel","given":"Suaad","non-dropping-particle":"","parse-names":false,"suffix":""},{"dropping-particle":"","family":"Ismail","given":"Salmah","non-dropping-particle":"","parse-names":false,"suffix":""}],"container-title":"International Journal of Scientific and Research Publications (IJSRP)","id":"ITEM-1","issue":"4","issued":{"date-parts":[["2021"]]},"page":"70-80","title":"Antimicrobial Screening of Lactic Acid Bacteria Isolated from Fermented Milk Buffalo (Dadih)","type":"article-journal","volume":"11"},"uris":["http://www.mendeley.com/documents/?uuid=a525e490-07b9-406e-a5d3-d9abc3e27c49"]}],"mendeley":{"formattedCitation":"(Ary et al., 2021)","plainTextFormattedCitation":"(Ary et al., 2021)","previouslyFormattedCitation":"(Ary et al., 2021)"},"properties":{"noteIndex":0},"schema":"https://github.com/citation-style-language/schema/raw/master/csl-citation.json"}</w:instrText>
      </w:r>
      <w:r w:rsidR="00A51F09" w:rsidRPr="00BB3B7F">
        <w:fldChar w:fldCharType="separate"/>
      </w:r>
      <w:r w:rsidR="00A51F09" w:rsidRPr="00BB3B7F">
        <w:t xml:space="preserve">(Ary </w:t>
      </w:r>
      <w:r w:rsidR="00F37D33" w:rsidRPr="001175AD">
        <w:rPr>
          <w:i/>
          <w:iCs/>
        </w:rPr>
        <w:t>et al</w:t>
      </w:r>
      <w:r w:rsidR="00CB5660" w:rsidRPr="00BB3B7F">
        <w:t>.</w:t>
      </w:r>
      <w:r w:rsidR="00A51F09" w:rsidRPr="00BB3B7F">
        <w:t xml:space="preserve"> 2021)</w:t>
      </w:r>
      <w:r w:rsidR="00A51F09" w:rsidRPr="00BB3B7F">
        <w:fldChar w:fldCharType="end"/>
      </w:r>
      <w:r w:rsidR="00A51F09" w:rsidRPr="001175AD">
        <w:rPr>
          <w:lang w:val="id-ID"/>
        </w:rPr>
        <w:t xml:space="preserve">. </w:t>
      </w:r>
      <w:r w:rsidR="001175AD">
        <w:rPr>
          <w:color w:val="252525"/>
        </w:rPr>
        <w:t xml:space="preserve">Through microscopic morphological analysis of the isolates accompanied by gram staining, the bacteria found in the silage samples were gram-positive bacilli and cocci from the LAB group, thought to be from the genus </w:t>
      </w:r>
      <w:r w:rsidR="001175AD" w:rsidRPr="001175AD">
        <w:rPr>
          <w:i/>
          <w:iCs/>
          <w:color w:val="252525"/>
        </w:rPr>
        <w:t>Lactobacillus</w:t>
      </w:r>
      <w:r w:rsidR="001175AD">
        <w:rPr>
          <w:color w:val="252525"/>
        </w:rPr>
        <w:t xml:space="preserve"> and </w:t>
      </w:r>
      <w:r w:rsidR="001175AD" w:rsidRPr="001175AD">
        <w:rPr>
          <w:i/>
          <w:iCs/>
          <w:color w:val="252525"/>
        </w:rPr>
        <w:t>Lactococcus</w:t>
      </w:r>
      <w:r w:rsidR="001175AD">
        <w:rPr>
          <w:color w:val="252525"/>
        </w:rPr>
        <w:t>.</w:t>
      </w:r>
    </w:p>
    <w:p w14:paraId="66689505" w14:textId="0D8C5453" w:rsidR="00A51F09" w:rsidRPr="001175AD" w:rsidRDefault="00423CA3" w:rsidP="00CD341D">
      <w:pPr>
        <w:pStyle w:val="NormalWeb"/>
        <w:spacing w:before="0" w:beforeAutospacing="0" w:after="0" w:afterAutospacing="0" w:line="480" w:lineRule="auto"/>
        <w:jc w:val="both"/>
        <w:rPr>
          <w:color w:val="252525"/>
        </w:rPr>
      </w:pPr>
      <w:r>
        <w:rPr>
          <w:color w:val="252525"/>
        </w:rPr>
        <w:t xml:space="preserve">         </w:t>
      </w:r>
      <w:r w:rsidR="001175AD">
        <w:rPr>
          <w:color w:val="252525"/>
        </w:rPr>
        <w:t xml:space="preserve">The results of microbial calculations show that the bacterial composition in silage is more dominant than that of fungi or yeast. </w:t>
      </w:r>
      <w:r w:rsidR="00E00DF5">
        <w:rPr>
          <w:color w:val="252525"/>
        </w:rPr>
        <w:t>Probiotic starter with Heriyaki Powder</w:t>
      </w:r>
      <w:r w:rsidR="001175AD">
        <w:rPr>
          <w:color w:val="252525"/>
        </w:rPr>
        <w:t xml:space="preserve"> silage produces a greater number of fungi and bacteria than other treatments. The effectiveness of silage inoculants can vary depending on the type of inoculant. Not all LAB strains can be used as silage inoculants </w:t>
      </w:r>
      <w:r w:rsidR="00A51F09" w:rsidRPr="00BB3B7F">
        <w:fldChar w:fldCharType="begin" w:fldLock="1"/>
      </w:r>
      <w:r w:rsidR="00A51F09" w:rsidRPr="00BB3B7F">
        <w:instrText>ADDIN CSL_CITATION {"citationItems":[{"id":"ITEM-1","itemData":{"DOI":"10.3168/jds.2017-13839","ISSN":"15253198","PMID":"29685273","abstract":"Additives have been available for enhancing silage preservation for decades. This review covers research studies published since 2000 that have investigated the efficacy of silage additives. The review has been divided into 6 categories of additives: homofermentative lactic acid bacteria (LAB), obligate heterofermentative LAB, combination inoculants containing obligate heterofermentative LAB plus homofermentative LAB, other inoculants, chemicals, and enzymes. The homofermentative LAB rapidly decrease pH and increase lactic acid relative to other fermentation products, although a meta-analysis indicated no reduction in pH in corn, sorghum, and sugarcane silages relative to untreated silages. These additives resulted in higher milk production according to the meta-analysis by mechanisms that are still unclear. Lactobacillus buchneri is the dominant species used in obligate heterofermentative LAB silage additives. It slowly converts lactic acid to acetic acid and 1,2-propanediol during silo storage, improving aerobic stability while having no effect on animal productivity. Current research is focused on finding other species in the Lb. buchneri group capable of producing more rapid improvements in aerobic stability. Combination inoculants aim to provide the aerobic stability benefits of Lb. buchneri with the silage fermentation efficiency and animal productivity benefits of homofermentative LAB. Research indicates that these products are improving aerobic stability, but feeding studies are not yet sufficient to make conclusions about effects on animal performance. Novel non-LAB species have been studied as potential silage inoculants. Streptococcus bovis is a potential starter species within a homofermentative LAB inoculant. Propionibacterium and Bacillus species offer improved aerobic stability in some cases. Some yeast research has focused on inhibiting molds and other detrimental silage microorganisms, whereas other yeast research suggests that it may be possible to apply a direct-fed microbial strain at ensiling, have it survive ensiling, and multiply during feed out. Chemical additives traditionally have fallen in 2 groups. Formic acid causes direct acidification, suppressing clostridia and other undesired bacteria and improving protein preservation during ensiling. On the other hand, sorbic, benzoic, propionic, and acetic acids improve silage aerobic stability at feed out through direct inhibition of yeasts and molds. Current research has focused on …","author":[{"dropping-particle":"","family":"Muck","given":"R. E.","non-dropping-particle":"","parse-names":false,"suffix":""},{"dropping-particle":"","family":"Nadeau","given":"E. M.G.","non-dropping-particle":"","parse-names":false,"suffix":""},{"dropping-particle":"","family":"McAllister","given":"T. A.","non-dropping-particle":"","parse-names":false,"suffix":""},{"dropping-particle":"","family":"Contreras-Govea","given":"F. E.","non-dropping-particle":"","parse-names":false,"suffix":""},{"dropping-particle":"","family":"Santos","given":"M. C.","non-dropping-particle":"","parse-names":false,"suffix":""},{"dropping-particle":"","family":"Kung","given":"L.","non-dropping-particle":"","parse-names":false,"suffix":""}],"container-title":"Journal of Dairy Science","id":"ITEM-1","issue":"5","issued":{"date-parts":[["2018","5","1"]]},"page":"3980-4000","publisher":"Elsevier Inc.","title":"Silage review: Recent advances and future uses of silage additives","type":"article","volume":"101"},"uris":["http://www.mendeley.com/documents/?uuid=01f0f56d-8d40-396c-8de4-8afdd79654bc"]}],"mendeley":{"formattedCitation":"(Muck et al., 2018)","plainTextFormattedCitation":"(Muck et al., 2018)","previouslyFormattedCitation":"(Muck et al., 2018)"},"properties":{"noteIndex":0},"schema":"https://github.com/citation-style-language/schema/raw/master/csl-citation.json"}</w:instrText>
      </w:r>
      <w:r w:rsidR="00A51F09" w:rsidRPr="00BB3B7F">
        <w:fldChar w:fldCharType="separate"/>
      </w:r>
      <w:r w:rsidR="00A51F09" w:rsidRPr="00BB3B7F">
        <w:t xml:space="preserve">(Muck </w:t>
      </w:r>
      <w:r w:rsidR="00F37D33" w:rsidRPr="00BB3B7F">
        <w:rPr>
          <w:i/>
          <w:iCs/>
        </w:rPr>
        <w:t>et al</w:t>
      </w:r>
      <w:r w:rsidR="00CB5660" w:rsidRPr="00BB3B7F">
        <w:t>.</w:t>
      </w:r>
      <w:r w:rsidR="00A51F09" w:rsidRPr="00BB3B7F">
        <w:t xml:space="preserve"> 2018)</w:t>
      </w:r>
      <w:r w:rsidR="00A51F09" w:rsidRPr="00BB3B7F">
        <w:fldChar w:fldCharType="end"/>
      </w:r>
      <w:r w:rsidR="00A51F09" w:rsidRPr="00BB3B7F">
        <w:t xml:space="preserve">. </w:t>
      </w:r>
      <w:r w:rsidR="001175AD">
        <w:rPr>
          <w:color w:val="252525"/>
        </w:rPr>
        <w:t xml:space="preserve">Certain LAB strains that can survive ensiling conditions and reduce pH quickly are needed for silage production. The ensilage process involving lactic acid bacteria (LAB) such as </w:t>
      </w:r>
      <w:r w:rsidR="001175AD" w:rsidRPr="009571BA">
        <w:rPr>
          <w:i/>
          <w:iCs/>
          <w:color w:val="252525"/>
        </w:rPr>
        <w:t>Lactobacillus</w:t>
      </w:r>
      <w:r w:rsidR="001175AD">
        <w:rPr>
          <w:color w:val="252525"/>
        </w:rPr>
        <w:t xml:space="preserve">, </w:t>
      </w:r>
      <w:r w:rsidR="001175AD" w:rsidRPr="009571BA">
        <w:rPr>
          <w:i/>
          <w:iCs/>
          <w:color w:val="252525"/>
        </w:rPr>
        <w:t>Bifidobacterium</w:t>
      </w:r>
      <w:r w:rsidR="001175AD">
        <w:rPr>
          <w:color w:val="252525"/>
        </w:rPr>
        <w:t>,</w:t>
      </w:r>
      <w:r w:rsidR="009571BA">
        <w:rPr>
          <w:color w:val="252525"/>
        </w:rPr>
        <w:t xml:space="preserve"> </w:t>
      </w:r>
      <w:r w:rsidR="001175AD" w:rsidRPr="009571BA">
        <w:rPr>
          <w:i/>
          <w:iCs/>
          <w:color w:val="252525"/>
        </w:rPr>
        <w:t>Saccharomyces</w:t>
      </w:r>
      <w:r w:rsidR="001175AD">
        <w:rPr>
          <w:color w:val="252525"/>
        </w:rPr>
        <w:t xml:space="preserve">, </w:t>
      </w:r>
      <w:r w:rsidR="001175AD" w:rsidRPr="009571BA">
        <w:rPr>
          <w:i/>
          <w:iCs/>
          <w:color w:val="252525"/>
        </w:rPr>
        <w:t>Streptococcus</w:t>
      </w:r>
      <w:r w:rsidR="001175AD">
        <w:rPr>
          <w:color w:val="252525"/>
        </w:rPr>
        <w:t xml:space="preserve">, </w:t>
      </w:r>
      <w:r w:rsidR="001175AD" w:rsidRPr="009571BA">
        <w:rPr>
          <w:i/>
          <w:iCs/>
          <w:color w:val="252525"/>
        </w:rPr>
        <w:t>Enterococcus</w:t>
      </w:r>
      <w:r w:rsidR="001175AD">
        <w:rPr>
          <w:color w:val="252525"/>
        </w:rPr>
        <w:t xml:space="preserve">, </w:t>
      </w:r>
      <w:r w:rsidR="001175AD" w:rsidRPr="009571BA">
        <w:rPr>
          <w:i/>
          <w:iCs/>
          <w:color w:val="252525"/>
        </w:rPr>
        <w:t xml:space="preserve">Escherichia </w:t>
      </w:r>
      <w:r w:rsidR="001175AD" w:rsidRPr="009571BA">
        <w:rPr>
          <w:color w:val="252525"/>
        </w:rPr>
        <w:t>and</w:t>
      </w:r>
      <w:r w:rsidR="001175AD" w:rsidRPr="009571BA">
        <w:rPr>
          <w:i/>
          <w:iCs/>
          <w:color w:val="252525"/>
        </w:rPr>
        <w:t xml:space="preserve"> Bacillus</w:t>
      </w:r>
      <w:r w:rsidR="009571BA">
        <w:rPr>
          <w:color w:val="252525"/>
        </w:rPr>
        <w:t xml:space="preserve"> </w:t>
      </w:r>
      <w:r w:rsidR="00A51F09" w:rsidRPr="00BB3B7F">
        <w:rPr>
          <w:lang w:val="id-ID"/>
        </w:rPr>
        <w:fldChar w:fldCharType="begin" w:fldLock="1"/>
      </w:r>
      <w:r w:rsidR="00A51F09" w:rsidRPr="00BB3B7F">
        <w:rPr>
          <w:lang w:val="id-ID"/>
        </w:rPr>
        <w:instrText>ADDIN CSL_CITATION {"citationItems":[{"id":"ITEM-1","itemData":{"DOI":"10.3390/nu13124446","ISSN":"20726643","PMID":"34960001","abstract":"Kombucha is a fermented tea made from a Symbiotic Culture of Bacteria and Yeast (SCOBY) with a long history of use as a health tonic. It is likely that most health benefits come from the tea and fermentation metabolites from specific microbial communities. Despite its growing importance as a functional health drink, the microbial ecosystem present in kombucha has not been fully documented. To characterize the microbial composition and biochemical properties of ‘The Good Brew’ original base kombucha, we used metagenomics amplicon (16S rRNA and ITS) sequencing to identify the microbial communities at the taxonomic level. We identified 34 genera with 200 microbial species yet described in kombucha. The dominance of organic acid producing microorganisms Acetobacter, Komagataeibacter and Starmerella are healthy for the human gut and their glucose metabolising activities have a putative role in preventing conditions such as diabetes and obesity. Kombucha contains high protein (3.31 µg/mL), high phenolic content (290.4 mg/100 mL) and low sugars (glucose: 1.87 g/L; sucrose 1.11 g/L; fructose: 0.05 g/L) as compared to green tea. The broad microbial diversity with proven health benefits for the human gut suggests kombucha is a powerful probiotic. These findings are important to improve the commercial value of kombucha and uncover the immense prospects for health benefits.","author":[{"dropping-particle":"","family":"Kaashyap","given":"Mayank","non-dropping-particle":"","parse-names":false,"suffix":""},{"dropping-particle":"","family":"Cohen","given":"Marc","non-dropping-particle":"","parse-names":false,"suffix":""},{"dropping-particle":"","family":"Mantri","given":"Nitin","non-dropping-particle":"","parse-names":false,"suffix":""}],"container-title":"Nutrients","id":"ITEM-1","issue":"12","issued":{"date-parts":[["2021","12","1"]]},"publisher":"MDPI","title":"Microbial diversity and characteristics of kombucha as revealed by metagenomic and physicochemical analysis","type":"article-journal","volume":"13"},"uris":["http://www.mendeley.com/documents/?uuid=911442fa-5479-38c0-8810-21c95e59e8a6"]}],"mendeley":{"formattedCitation":"(Kaashyap et al., 2021)","plainTextFormattedCitation":"(Kaashyap et al., 2021)","previouslyFormattedCitation":"(Kaashyap et al., 2021)"},"properties":{"noteIndex":0},"schema":"https://github.com/citation-style-language/schema/raw/master/csl-citation.json"}</w:instrText>
      </w:r>
      <w:r w:rsidR="00A51F09" w:rsidRPr="00BB3B7F">
        <w:rPr>
          <w:lang w:val="id-ID"/>
        </w:rPr>
        <w:fldChar w:fldCharType="separate"/>
      </w:r>
      <w:r w:rsidR="00A51F09" w:rsidRPr="00BB3B7F">
        <w:rPr>
          <w:lang w:val="id-ID"/>
        </w:rPr>
        <w:t xml:space="preserve">(Kaashyap </w:t>
      </w:r>
      <w:r w:rsidR="00F37D33" w:rsidRPr="00BB3B7F">
        <w:rPr>
          <w:i/>
          <w:iCs/>
          <w:lang w:val="id-ID"/>
        </w:rPr>
        <w:t>et al</w:t>
      </w:r>
      <w:r w:rsidR="00CB5660" w:rsidRPr="00BB3B7F">
        <w:rPr>
          <w:lang w:val="id-ID"/>
        </w:rPr>
        <w:t>.</w:t>
      </w:r>
      <w:r w:rsidR="00A51F09" w:rsidRPr="00BB3B7F">
        <w:rPr>
          <w:lang w:val="id-ID"/>
        </w:rPr>
        <w:t xml:space="preserve"> 2021)</w:t>
      </w:r>
      <w:r w:rsidR="00A51F09" w:rsidRPr="00BB3B7F">
        <w:fldChar w:fldCharType="end"/>
      </w:r>
      <w:r w:rsidR="00A51F09" w:rsidRPr="00BB3B7F">
        <w:rPr>
          <w:lang w:val="id-ID"/>
        </w:rPr>
        <w:t xml:space="preserve"> </w:t>
      </w:r>
      <w:r w:rsidR="009571BA">
        <w:rPr>
          <w:color w:val="252525"/>
        </w:rPr>
        <w:t xml:space="preserve">is known to be able to improve the quality of fermentation and preserve forage nutrients, thereby producing silage as feed with high nutritional value </w:t>
      </w:r>
      <w:r w:rsidR="00A51F09" w:rsidRPr="00BB3B7F">
        <w:fldChar w:fldCharType="begin" w:fldLock="1"/>
      </w:r>
      <w:r w:rsidR="00A51F09" w:rsidRPr="00BB3B7F">
        <w:instrText>ADDIN CSL_CITATION {"citationItems":[{"id":"ITEM-1","itemData":{"DOI":"10.1016/j.aninu.2022.06.010","ISSN":"24056383","abstract":"A feeding experiment was conducted to determine the effects of inoculating alfalfa silage with a ferulic acid esterase-producing inoculum on feed digestibility, rumen fermentation, antioxidant, and immunity status of lactating dairy goats. Twenty dairy goats were distributed into 2 experimental groups consisting of control diet (Lp MTD/1, including Lactobacillus plantarum MTD/1 inoculated silage) against diet containing silage treated with ferulic acid esterase-producing L. plantarum A1 (Lp A1). Alfalfa silage inoculated with a ferulic acid esterase-producing Lp A1 had better fermentation quality than the Lp MTD/1 inoculation. The application of Lp A1 improved silage antioxidant capacity as indicated by greater total antioxidant capacity (T-AOC), superoxide dismutase (SOD) and glutathion peroxidase (GSH-Px) activities in Lp A1 treated silage versus Lp MTD/1 treatment. Compared with Lp MTD/1 treated group, inoculation of silage with Lp A1 increased apparent total tract digestibility of dietary dry matter, organic matter and crude protein, and ruminal concentrations of total volatile fatty acids, acetate, propionate and isobutyrate as well. The results of current study also demonstrated improved antioxidant capacity and immune performance of dairy goats with Lp A1 inoculation. Feeding Lp A1-treated silage increased dairy goats' serum antioxidase activity, such as T-AOC, SOD, GSH-Px and catalase, and the serum concentration of immunoglobulin A, while decreased tumor necrosis factor α, interleukin (IL)-2 and IL-6. In addition, compared with Lp MTD/1, diet containing alfalfa silage inoculated with Lp A1 endowed dairy goats' milk with greater fat and protein contents, improved dairy goat milk quality without affecting feed efficiency.","author":[{"dropping-particle":"","family":"Li","given":"Fuhou","non-dropping-particle":"","parse-names":false,"suffix":""},{"dropping-particle":"","family":"Zhang","given":"Baibing","non-dropping-particle":"","parse-names":false,"suffix":""},{"dropping-particle":"","family":"Zhang","given":"Yixin","non-dropping-particle":"","parse-names":false,"suffix":""},{"dropping-particle":"","family":"Zhang","given":"Xia","non-dropping-particle":"","parse-names":false,"suffix":""},{"dropping-particle":"","family":"Usman","given":"Samaila","non-dropping-particle":"","parse-names":false,"suffix":""},{"dropping-particle":"","family":"Ding","given":"Zitong","non-dropping-particle":"","parse-names":false,"suffix":""},{"dropping-particle":"","family":"Hao","given":"Lizhuang","non-dropping-particle":"","parse-names":false,"suffix":""},{"dropping-particle":"","family":"Guo","given":"Xusheng","non-dropping-particle":"","parse-names":false,"suffix":""}],"container-title":"Animal Nutrition","id":"ITEM-1","issued":{"date-parts":[["2022","12","1"]]},"page":"38-47","publisher":"KeAi Communications Co.","title":"Probiotic effect of ferulic acid esterase-producing Lactobacillus plantarum inoculated alfalfa silage on digestion, antioxidant, and immunity status of lactating dairy goats","type":"article-journal","volume":"11"},"uris":["http://www.mendeley.com/documents/?uuid=ad2d615d-e7a8-36b3-b05e-709e1a1d5c2d"]}],"mendeley":{"formattedCitation":"(Li et al., 2022)","plainTextFormattedCitation":"(Li et al., 2022)","previouslyFormattedCitation":"(Li et al., 2022)"},"properties":{"noteIndex":0},"schema":"https://github.com/citation-style-language/schema/raw/master/csl-citation.json"}</w:instrText>
      </w:r>
      <w:r w:rsidR="00A51F09" w:rsidRPr="00BB3B7F">
        <w:fldChar w:fldCharType="separate"/>
      </w:r>
      <w:r w:rsidR="00A51F09" w:rsidRPr="00BB3B7F">
        <w:t xml:space="preserve">(Li </w:t>
      </w:r>
      <w:r w:rsidR="00F37D33" w:rsidRPr="00BB3B7F">
        <w:rPr>
          <w:i/>
          <w:iCs/>
        </w:rPr>
        <w:t>et al</w:t>
      </w:r>
      <w:r w:rsidR="00CB5660" w:rsidRPr="00BB3B7F">
        <w:t>.</w:t>
      </w:r>
      <w:r w:rsidR="00A51F09" w:rsidRPr="00BB3B7F">
        <w:t xml:space="preserve"> 2022)</w:t>
      </w:r>
      <w:r w:rsidR="00A51F09" w:rsidRPr="00BB3B7F">
        <w:fldChar w:fldCharType="end"/>
      </w:r>
      <w:r w:rsidR="00A51F09" w:rsidRPr="00BB3B7F">
        <w:rPr>
          <w:lang w:val="id-ID"/>
        </w:rPr>
        <w:t xml:space="preserve">. </w:t>
      </w:r>
    </w:p>
    <w:p w14:paraId="79F2E293" w14:textId="77777777" w:rsidR="00CD341D" w:rsidRDefault="009571BA" w:rsidP="00CD341D">
      <w:pPr>
        <w:numPr>
          <w:ilvl w:val="1"/>
          <w:numId w:val="4"/>
        </w:numPr>
        <w:ind w:left="426" w:hanging="426"/>
      </w:pPr>
      <w:r w:rsidRPr="009571BA">
        <w:lastRenderedPageBreak/>
        <w:t>Palatability Level</w:t>
      </w:r>
    </w:p>
    <w:p w14:paraId="07AFC6A1" w14:textId="42E39139" w:rsidR="009571BA" w:rsidRPr="00CD341D" w:rsidRDefault="00423CA3" w:rsidP="00CD341D">
      <w:pPr>
        <w:spacing w:line="480" w:lineRule="auto"/>
        <w:ind w:firstLine="426"/>
      </w:pPr>
      <w:r w:rsidRPr="00CD341D">
        <w:rPr>
          <w:color w:val="252525"/>
          <w:shd w:val="clear" w:color="auto" w:fill="FFFFFF"/>
        </w:rPr>
        <w:t xml:space="preserve">  </w:t>
      </w:r>
      <w:r w:rsidR="009571BA" w:rsidRPr="00CD341D">
        <w:rPr>
          <w:color w:val="252525"/>
          <w:shd w:val="clear" w:color="auto" w:fill="FFFFFF"/>
        </w:rPr>
        <w:t xml:space="preserve">The palatability level of sheep is higher in </w:t>
      </w:r>
      <w:r w:rsidR="00DF6F2F" w:rsidRPr="00CD341D">
        <w:rPr>
          <w:color w:val="252525"/>
          <w:shd w:val="clear" w:color="auto" w:fill="FFFFFF"/>
        </w:rPr>
        <w:t>ramie</w:t>
      </w:r>
      <w:r w:rsidR="009571BA" w:rsidRPr="00CD341D">
        <w:rPr>
          <w:color w:val="252525"/>
          <w:shd w:val="clear" w:color="auto" w:fill="FFFFFF"/>
        </w:rPr>
        <w:t xml:space="preserve"> leaf silage compared to standard feed in the form of ordinary grass without fermentation because the silage contains lactic acid, which produces a distinctive aroma and simple sugar products</w:t>
      </w:r>
      <w:r w:rsidR="009571BA" w:rsidRPr="00CD341D">
        <w:rPr>
          <w:rFonts w:ascii="Open Sans" w:hAnsi="Open Sans" w:cs="Open Sans"/>
          <w:color w:val="252525"/>
          <w:shd w:val="clear" w:color="auto" w:fill="FFFFFF"/>
        </w:rPr>
        <w:t xml:space="preserve"> </w:t>
      </w:r>
      <w:r w:rsidR="00A51F09" w:rsidRPr="00BB3B7F">
        <w:rPr>
          <w:lang w:val="id-ID"/>
        </w:rPr>
        <w:fldChar w:fldCharType="begin" w:fldLock="1"/>
      </w:r>
      <w:r w:rsidR="00A51F09" w:rsidRPr="00CD341D">
        <w:rPr>
          <w:lang w:val="id-ID"/>
        </w:rPr>
        <w:instrText xml:space="preserve">ADDIN CSL_CITATION {"citationItems":[{"id":"ITEM-1","itemData":{"DOI":"10.24198/jit.v18i2.19461","ISSN":"1410-5659","abstract":"Palatabilitas adalah tingkat kesukaan yang ditunjukkan oleh ternak untuk mengkonsumsi suatu bahan pakan yang diberikan dalam periode tertentu. Tekstur, warna, aroma dan rasa yang disukai ternak menunjukkan bahwa kualitas pakan sangat baik yang berpengaruh terhadap palatabilitas. Penelitian ini dilaksanakan di Laboratorium Nutrisi Ternak Ruminansia dan Kimia Makanan Ternak Fakultas Peternakan Universitas Padjadjaran dan Kelompok Tani Mekar Harapan, Ujung Berung, Bandung. Tujuan penelitian ini adalah untuk mengetahui kualitas fisik dan palatabilitas konsentrat fermentasi dalam ransum kambing perah jenis peranakan ettawa. Materi penelitian adalah konsentrat yang tersusun dari berbagai bahan pakan dengan kandungan lemak kasar dan serat kasar tinggi kemudian konsentrat dibuat fermentasi sebagai perlakuan pertama (P1) dan konsentrat tanpa fermentasi perlakuan kedua (P2) yang masing-masing diulang 5 kali dan pengujian palatabilitas menggunakan 10 ekor kambing peranakan ettawa laktasi 2. Metode statistik menggunakan uji t untuk membandingkan perlakuan mana yang terbaik. Hasil penelitian menunjukkan bahwa konsentrat fermentasi menghasilkan warna gelap, aroma khas fermentasi, dan tekstur agak kering sedangkan tanpa fermentasi warna terang, aroma tidak tajam, dan tekstur agak basah serta tingkatan palatabilitas konsentrat fermentasi lebih disukai dibandingkan dengan yang tidak difermentasi </w:instrText>
      </w:r>
      <w:r w:rsidR="00A51F09" w:rsidRPr="00CD341D">
        <w:rPr>
          <w:rFonts w:hint="eastAsia"/>
          <w:lang w:val="id-ID"/>
        </w:rPr>
        <w:instrText>(thitung</w:instrText>
      </w:r>
      <w:r w:rsidR="00A51F09" w:rsidRPr="00CD341D">
        <w:rPr>
          <w:rFonts w:hint="eastAsia"/>
          <w:lang w:val="id-ID"/>
        </w:rPr>
        <w:instrText>≥</w:instrText>
      </w:r>
      <w:r w:rsidR="00A51F09" w:rsidRPr="00CD341D">
        <w:rPr>
          <w:rFonts w:hint="eastAsia"/>
          <w:lang w:val="id-ID"/>
        </w:rPr>
        <w:instrText>ttabel). Kesimpulan dari penelitian ini adalah Konsentrat fermentasi menghasilkan warna, aroma dan rasa serta palatabilitas yang lebih baik dibandingkan dengan tanpa fermentasi Kata Kunci: kualitas fisik, palatabilitas, konsentrat fermentasi, kam</w:instrText>
      </w:r>
      <w:r w:rsidR="00A51F09" w:rsidRPr="00CD341D">
        <w:rPr>
          <w:lang w:val="id-ID"/>
        </w:rPr>
        <w:instrText>bing perah peranakan etawah","author":[{"dropping-particle":"","family":"Christi","given":"Raden Febrianto","non-dropping-particle":"","parse-names":false,"suffix":""}],"container-title":"Jurnal Ilmu Ternak Universitas Padjadjaran","id":"ITEM-1","issue":"2","issued":{"date-parts":[["2019"]]},"page":"121-125","title":"Kualitas Fisik Dan Palatabilitas Konsentrat Fermentasi Dalam Ransum Kambing Perah Peranakan Ettawa","type":"article-journal","volume":"18"},"uris":["http://www.mendeley.com/documents/?uuid=3d8fd25a-9ab7-44b2-935b-6ae228c99943"]}],"mendeley":{"formattedCitation":"(Christi, 2019)","plainTextFormattedCitation":"(Christi, 2019)","previouslyFormattedCitation":"(Christi, 2019)"},"properties":{"noteIndex":0},"schema":"https://github.com/citation-style-language/schema/raw/master/csl-citation.json"}</w:instrText>
      </w:r>
      <w:r w:rsidR="00A51F09" w:rsidRPr="00BB3B7F">
        <w:rPr>
          <w:lang w:val="id-ID"/>
        </w:rPr>
        <w:fldChar w:fldCharType="separate"/>
      </w:r>
      <w:r w:rsidR="00A51F09" w:rsidRPr="00CD341D">
        <w:rPr>
          <w:lang w:val="id-ID"/>
        </w:rPr>
        <w:t>(Christi, 2019)</w:t>
      </w:r>
      <w:r w:rsidR="00A51F09" w:rsidRPr="00BB3B7F">
        <w:fldChar w:fldCharType="end"/>
      </w:r>
      <w:r w:rsidR="00A51F09" w:rsidRPr="00BB3B7F">
        <w:t xml:space="preserve"> </w:t>
      </w:r>
      <w:r w:rsidR="00AE408E" w:rsidRPr="00AE408E">
        <w:rPr>
          <w:lang w:val="id-ID"/>
        </w:rPr>
        <w:t>thus providing a sweet taste that is preferred by livestock. This is in accordance with the statement</w:t>
      </w:r>
      <w:r w:rsidR="00AE408E">
        <w:t xml:space="preserve"> of</w:t>
      </w:r>
      <w:r w:rsidR="00A51F09" w:rsidRPr="00BB3B7F">
        <w:t xml:space="preserve"> Van Soest (1994) </w:t>
      </w:r>
      <w:r w:rsidR="00AE408E" w:rsidRPr="00AE408E">
        <w:t>in</w:t>
      </w:r>
      <w:r w:rsidR="00A51F09" w:rsidRPr="00CD341D">
        <w:rPr>
          <w:i/>
          <w:iCs/>
        </w:rPr>
        <w:t xml:space="preserve"> </w:t>
      </w:r>
      <w:r w:rsidR="00A51F09" w:rsidRPr="00BB3B7F">
        <w:rPr>
          <w:i/>
          <w:iCs/>
        </w:rPr>
        <w:fldChar w:fldCharType="begin" w:fldLock="1"/>
      </w:r>
      <w:r w:rsidR="00A51F09" w:rsidRPr="00CD341D">
        <w:rPr>
          <w:i/>
          <w:iCs/>
        </w:rPr>
        <w:instrText>ADDIN CSL_CITATION {"citationItems":[{"id":"ITEM-1","itemData":{"DOI":"10.1007/s11250-022-03145-3","ISBN":"0123456789","ISSN":"15737438","PMID":"35347451","abstract":"The aim of this study was to evaluate the nycterohemeral patterns of ingestive behavior at 24, 48, and 72 h (Trial I) of sheep fed different roughages and the palatability index (Trial II) for sheep and goats fed different roughages used in a semiarid region. In the study, five sources of roughage were evaluated, namely: (1) Nopalea cochenillifera (L.) Salm-Dyck cladodes + urea + sugarcane bagasse (NUB); (2) Opuntia stricta (Haw.) Haw cladodes + urea + sugarcane bagasse (OUB); (3) Tifton hay; (4) corn silage; and (5) sorghum silage. Five Soinga sheep were used and arranged in a 5 × 5 Latin square design in Trial I. Six female Santa Ines sheep and six female Saanen goats were used to study the preferences for different roughages in Trial II, and three tests were carried out to determine the palatability index, comparing two roughage types at a time: test 1 — corn silage versus Nopalea cladodes + urea + sugarcane bagasse (NUB); test 2 — corn silage versus Opuntia cladodes + urea + sugarcane bagasse (OUB); and test 3 — NUB versus OUB. The highest dry matter (DM) intake was for diets composed by NUB. Feeding time (min/d) was higher for sorghum silage (291 min d−1), while rumination time was higher (P &lt; 0.05) for corn silage (604.0 min d−1), sorghum silage (561.7 min d−1), and Tifton hay (529.7 min d−1). No difference (P &gt; 0.05) was observed for feeding, rumination, and idleness time between species (sheep and goats), and there was no roughage × species interaction (P &gt; 0.05). The palatability indexes were 76 and 77% (tests 1 and 2) for NUB and OUB, respectively. Sheep fed with roughage containing cactus cladodes associated with urea and sugarcane bagasse spent less time on ingestion and rumination activities. The ingestive behavior can be evaluated in a period of 48 h, using instantaneous scanning.","author":[{"dropping-particle":"","family":"Siqueira","given":"Thamires Damascena Quirino","non-dropping-particle":"","parse-names":false,"suffix":""},{"dropping-particle":"","family":"Santos Monnerat","given":"João Paulo Ismério","non-dropping-particle":"dos","parse-names":false,"suffix":""},{"dropping-particle":"","family":"Chagas","given":"Juana Catarina Cariri","non-dropping-particle":"","parse-names":false,"suffix":""},{"dropping-particle":"","family":"Conceição","given":"Maria Gabriela","non-dropping-particle":"da","parse-names":false,"suffix":""},{"dropping-particle":"","family":"Siqueira","given":"Michelle Christina Bernardo","non-dropping-particle":"de","parse-names":false,"suffix":""},{"dropping-particle":"","family":"Farias","given":"Lucas Rodrigues","non-dropping-particle":"de","parse-names":false,"suffix":""},{"dropping-particle":"","family":"Oliveira","given":"Juliana Paula Felipe","non-dropping-particle":"de","parse-names":false,"suffix":""},{"dropping-particle":"","family":"Andrade Ferreira","given":"Marcelo","non-dropping-particle":"de","parse-names":false,"suffix":""}],"container-title":"Tropical Animal Health and Production","id":"ITEM-1","issue":"2","issued":{"date-parts":[["2022"]]},"page":"1-7","publisher":"Springer Netherlands","title":"Palatability and nycterohemeral patterns of ingestive behavior of sheep fed different roughage sources","type":"article-journal","volume":"54"},"uris":["http://www.mendeley.com/documents/?uuid=e4840b4e-f776-4ba4-9ed9-91b5e3472494"]}],"mendeley":{"formattedCitation":"(Siqueira et al., 2022)","manualFormatting":"Siqueira et al. (2022)","plainTextFormattedCitation":"(Siqueira et al., 2022)","previouslyFormattedCitation":"(Siqueira et al., 2022)"},"properties":{"noteIndex":0},"schema":"https://github.com/citation-style-language/schema/raw/master/csl-citation.json"}</w:instrText>
      </w:r>
      <w:r w:rsidR="00A51F09" w:rsidRPr="00BB3B7F">
        <w:rPr>
          <w:i/>
          <w:iCs/>
        </w:rPr>
        <w:fldChar w:fldCharType="separate"/>
      </w:r>
      <w:r w:rsidR="00A51F09" w:rsidRPr="00CD341D">
        <w:rPr>
          <w:iCs/>
        </w:rPr>
        <w:t xml:space="preserve">Siqueira </w:t>
      </w:r>
      <w:r w:rsidR="00F37D33" w:rsidRPr="00CD341D">
        <w:rPr>
          <w:i/>
          <w:iCs/>
        </w:rPr>
        <w:t>et al</w:t>
      </w:r>
      <w:r w:rsidR="00A51F09" w:rsidRPr="00CD341D">
        <w:rPr>
          <w:iCs/>
        </w:rPr>
        <w:t>. (2022)</w:t>
      </w:r>
      <w:r w:rsidR="00A51F09" w:rsidRPr="00BB3B7F">
        <w:fldChar w:fldCharType="end"/>
      </w:r>
      <w:r w:rsidR="00A51F09" w:rsidRPr="00CD341D">
        <w:rPr>
          <w:i/>
          <w:iCs/>
        </w:rPr>
        <w:t xml:space="preserve"> </w:t>
      </w:r>
      <w:r w:rsidR="00AE408E" w:rsidRPr="00AE408E">
        <w:t>which states that ruminants choose feed based on taste and color</w:t>
      </w:r>
      <w:r w:rsidR="00A51F09" w:rsidRPr="00BB3B7F">
        <w:t>.</w:t>
      </w:r>
      <w:r w:rsidR="00A51F09" w:rsidRPr="00CD341D">
        <w:rPr>
          <w:lang w:val="id-ID"/>
        </w:rPr>
        <w:t xml:space="preserve"> </w:t>
      </w:r>
      <w:r w:rsidR="009571BA">
        <w:t xml:space="preserve"> </w:t>
      </w:r>
      <w:r w:rsidRPr="00CD341D">
        <w:rPr>
          <w:color w:val="252525"/>
        </w:rPr>
        <w:t xml:space="preserve">Apart from that, the level of palatability is also influenced by factors of the animal itself, such as species or breed, organoleptic senses, individual differences, and habituation to the feed </w:t>
      </w:r>
      <w:r w:rsidR="00A51F09" w:rsidRPr="00BB3B7F">
        <w:rPr>
          <w:lang w:val="id-ID"/>
        </w:rPr>
        <w:fldChar w:fldCharType="begin" w:fldLock="1"/>
      </w:r>
      <w:r w:rsidR="00A51F09" w:rsidRPr="00CD341D">
        <w:rPr>
          <w:lang w:val="id-ID"/>
        </w:rPr>
        <w:instrText>ADDIN CSL_CITATION {"citationItems":[{"id":"ITEM-1","itemData":{"abstract":"… N, Becker, Degen R. Some problems in fiber determination in tannin-rich forages … Forage palatability of Broussonetia papyrifera an invasive species in Ghana: Relative preference and palatability by … Yusmadi N, Ridla M. Quality and palatability of silage and hay based Rations …","author":[{"dropping-particle":"","family":"Kenana","given":"R S","non-dropping-particle":"","parse-names":false,"suffix":""},{"dropping-particle":"","family":"Onjoro","given":"P A","non-dropping-particle":"","parse-names":false,"suffix":""},{"dropping-particle":"","family":"Ambula","given":"M K","non-dropping-particle":"","parse-names":false,"suffix":""}],"container-title":"International journal of veterinary science and animal husbandry","id":"ITEM-1","issue":"5","issued":{"date-parts":[["2020"]]},"page":"18-22","title":"Relative palatability and preference by red Maasai sheep offered brachiaria and Rhodes grass hay supplemented with calliandra leaves in Kenya","type":"article-journal","volume":"5"},"uris":["http://www.mendeley.com/documents/?uuid=93aef398-7f93-43ae-aff2-ff34cb6372c8"]}],"mendeley":{"formattedCitation":"(Kenana et al., 2020)","plainTextFormattedCitation":"(Kenana et al., 2020)"},"properties":{"noteIndex":0},"schema":"https://github.com/citation-style-language/schema/raw/master/csl-citation.json"}</w:instrText>
      </w:r>
      <w:r w:rsidR="00A51F09" w:rsidRPr="00BB3B7F">
        <w:rPr>
          <w:lang w:val="id-ID"/>
        </w:rPr>
        <w:fldChar w:fldCharType="separate"/>
      </w:r>
      <w:r w:rsidR="00A51F09" w:rsidRPr="00CD341D">
        <w:rPr>
          <w:lang w:val="id-ID"/>
        </w:rPr>
        <w:t xml:space="preserve">(Kenana </w:t>
      </w:r>
      <w:r w:rsidR="00F37D33" w:rsidRPr="00CD341D">
        <w:rPr>
          <w:i/>
          <w:iCs/>
          <w:lang w:val="id-ID"/>
        </w:rPr>
        <w:t>et al</w:t>
      </w:r>
      <w:r w:rsidR="00CB5660" w:rsidRPr="00CD341D">
        <w:rPr>
          <w:lang w:val="id-ID"/>
        </w:rPr>
        <w:t>.</w:t>
      </w:r>
      <w:r w:rsidR="00A51F09" w:rsidRPr="00CD341D">
        <w:rPr>
          <w:lang w:val="id-ID"/>
        </w:rPr>
        <w:t xml:space="preserve"> 2020)</w:t>
      </w:r>
      <w:r w:rsidR="00A51F09" w:rsidRPr="00BB3B7F">
        <w:fldChar w:fldCharType="end"/>
      </w:r>
      <w:r w:rsidR="00A51F09" w:rsidRPr="00CD341D">
        <w:rPr>
          <w:lang w:val="id-ID"/>
        </w:rPr>
        <w:t>.</w:t>
      </w:r>
    </w:p>
    <w:p w14:paraId="545954B0" w14:textId="73EE3125" w:rsidR="00423CA3" w:rsidRDefault="00423CA3" w:rsidP="00423CA3">
      <w:r>
        <w:t xml:space="preserve"> </w:t>
      </w:r>
      <w:r w:rsidRPr="00423CA3">
        <w:t xml:space="preserve">E. </w:t>
      </w:r>
      <w:r w:rsidR="00E00DF5">
        <w:t>Probiotic starter with heriyaki powder</w:t>
      </w:r>
      <w:r w:rsidRPr="00423CA3">
        <w:t xml:space="preserve"> Silage Pellets</w:t>
      </w:r>
    </w:p>
    <w:p w14:paraId="2DBA7D8C" w14:textId="388524EF" w:rsidR="00423CA3" w:rsidRDefault="00423CA3" w:rsidP="00CD341D">
      <w:pPr>
        <w:spacing w:line="480" w:lineRule="auto"/>
      </w:pPr>
      <w:r>
        <w:rPr>
          <w:rFonts w:cs="Times New Roman"/>
          <w:color w:val="252525"/>
        </w:rPr>
        <w:t xml:space="preserve">         </w:t>
      </w:r>
      <w:r w:rsidRPr="00423CA3">
        <w:rPr>
          <w:rFonts w:cs="Times New Roman"/>
          <w:color w:val="252525"/>
        </w:rPr>
        <w:t>Making feed in pellet form is a way of preserving feed ingredients that is more guaranteed to maintain feed quality and extend the shelf life of silage by maintaining anaerobic conditions. Making silage in pellet form can be an alternative to reducing the reduction in silage quality caused by aerobic exposure.</w:t>
      </w:r>
    </w:p>
    <w:p w14:paraId="6D4C2696" w14:textId="77777777" w:rsidR="00423CA3" w:rsidRPr="00BB3B7F" w:rsidRDefault="00423CA3" w:rsidP="00423CA3"/>
    <w:p w14:paraId="3E36D685" w14:textId="39A084EB" w:rsidR="00A51F09" w:rsidRPr="00BB3B7F" w:rsidRDefault="00CD341D" w:rsidP="00A51F09">
      <w:pPr>
        <w:rPr>
          <w:b/>
          <w:bCs/>
        </w:rPr>
      </w:pPr>
      <w:r>
        <w:rPr>
          <w:b/>
          <w:bCs/>
        </w:rPr>
        <w:t>Conclusions</w:t>
      </w:r>
    </w:p>
    <w:p w14:paraId="0E1C27C7" w14:textId="57BF2E7E" w:rsidR="00BB273D" w:rsidRDefault="00423CA3" w:rsidP="00CD341D">
      <w:pPr>
        <w:spacing w:line="480" w:lineRule="auto"/>
      </w:pPr>
      <w:r>
        <w:t xml:space="preserve">        </w:t>
      </w:r>
      <w:r w:rsidRPr="00423CA3">
        <w:t xml:space="preserve">The addition of probiotic </w:t>
      </w:r>
      <w:r w:rsidR="00E00DF5">
        <w:t>Probiotic starter with heriyaki powder</w:t>
      </w:r>
      <w:r w:rsidRPr="00423CA3">
        <w:t xml:space="preserve"> to silage is known to maintain a low pH value, thereby reducing the decline in silage quality when exposed to aerobic exposure. </w:t>
      </w:r>
      <w:r w:rsidR="00E00DF5">
        <w:t>Probiotic starter with heriyaki powder</w:t>
      </w:r>
      <w:r w:rsidRPr="00423CA3">
        <w:t xml:space="preserve"> is more effective at maintaining low pH values. Bacteria with characteristics resembling </w:t>
      </w:r>
      <w:r w:rsidRPr="00AE408E">
        <w:rPr>
          <w:i/>
          <w:iCs/>
        </w:rPr>
        <w:t>Lactobacillus</w:t>
      </w:r>
      <w:r w:rsidRPr="00423CA3">
        <w:t xml:space="preserve"> and </w:t>
      </w:r>
      <w:r w:rsidRPr="00AE408E">
        <w:rPr>
          <w:i/>
          <w:iCs/>
        </w:rPr>
        <w:t>Lactococcus</w:t>
      </w:r>
      <w:r w:rsidRPr="00423CA3">
        <w:t xml:space="preserve"> can be identified. In addition, processing silage in pellet form can be an alternative to preserving </w:t>
      </w:r>
      <w:r w:rsidR="00DF6F2F" w:rsidRPr="00DF6F2F">
        <w:t>ramie</w:t>
      </w:r>
      <w:r w:rsidRPr="00423CA3">
        <w:t xml:space="preserve"> silage-based feed which is practical and has a longer shelf life. Further studies are needed to determine the role of microorganisms in the silage fermentation process in order to obtain the best </w:t>
      </w:r>
      <w:r w:rsidR="00DF6F2F" w:rsidRPr="00DF6F2F">
        <w:t>ramie</w:t>
      </w:r>
      <w:r w:rsidRPr="00423CA3">
        <w:t xml:space="preserve"> leaf silage formula, and produce functional feed products with high economic value.</w:t>
      </w:r>
    </w:p>
    <w:p w14:paraId="2D2222BF" w14:textId="77777777" w:rsidR="00CD341D" w:rsidRPr="00BB3B7F" w:rsidRDefault="00CD341D" w:rsidP="00CD341D">
      <w:pPr>
        <w:spacing w:line="480" w:lineRule="auto"/>
      </w:pPr>
    </w:p>
    <w:p w14:paraId="4017DD8A" w14:textId="53B57200" w:rsidR="00BB273D" w:rsidRPr="00BB3B7F" w:rsidRDefault="00BB273D" w:rsidP="00BB273D">
      <w:pPr>
        <w:rPr>
          <w:b/>
          <w:bCs/>
        </w:rPr>
      </w:pPr>
      <w:r w:rsidRPr="00BB3B7F">
        <w:rPr>
          <w:b/>
          <w:bCs/>
        </w:rPr>
        <w:t>Acknowledgements</w:t>
      </w:r>
    </w:p>
    <w:p w14:paraId="52B5726D" w14:textId="66E6C029" w:rsidR="00BB273D" w:rsidRPr="00BB3B7F" w:rsidRDefault="00423CA3" w:rsidP="00CD341D">
      <w:pPr>
        <w:spacing w:after="240" w:line="480" w:lineRule="auto"/>
        <w:ind w:left="109" w:right="110" w:firstLine="344"/>
        <w:rPr>
          <w:rFonts w:cs="Times New Roman"/>
          <w:szCs w:val="24"/>
        </w:rPr>
      </w:pPr>
      <w:r>
        <w:t xml:space="preserve"> </w:t>
      </w:r>
      <w:r w:rsidR="00BB273D" w:rsidRPr="00BB3B7F">
        <w:t>The first author acknowledges the financial grant from</w:t>
      </w:r>
      <w:r w:rsidR="00BB273D" w:rsidRPr="00BB3B7F">
        <w:rPr>
          <w:rFonts w:cs="Times New Roman"/>
          <w:szCs w:val="24"/>
        </w:rPr>
        <w:t xml:space="preserve"> the Directorate of Research, Technology, and Community Service, Directorate General of Higher Education, Research, and Technology of the Ministry of Education, Culture, Research, and Technology Republic of Indonesia, through the BIMA program (SP DIPA-023.17.1.690523/2023).</w:t>
      </w:r>
    </w:p>
    <w:p w14:paraId="7F2CA041" w14:textId="77777777" w:rsidR="00CD341D" w:rsidRDefault="00BB273D" w:rsidP="00CD341D">
      <w:pPr>
        <w:spacing w:after="240"/>
        <w:ind w:right="110"/>
        <w:rPr>
          <w:b/>
          <w:bCs/>
        </w:rPr>
      </w:pPr>
      <w:r w:rsidRPr="00BB3B7F">
        <w:rPr>
          <w:b/>
          <w:bCs/>
        </w:rPr>
        <w:t>Author Contributions</w:t>
      </w:r>
    </w:p>
    <w:p w14:paraId="2F0B5ED6" w14:textId="77777777" w:rsidR="00532306" w:rsidRPr="00CD341D" w:rsidRDefault="00532306" w:rsidP="00532306">
      <w:pPr>
        <w:spacing w:after="240"/>
        <w:ind w:right="110" w:firstLine="720"/>
        <w:rPr>
          <w:b/>
          <w:bCs/>
        </w:rPr>
      </w:pPr>
      <w:r w:rsidRPr="00BB3B7F">
        <w:rPr>
          <w:rFonts w:cs="Times New Roman"/>
          <w:szCs w:val="24"/>
        </w:rPr>
        <w:t>APW designed the study</w:t>
      </w:r>
      <w:r>
        <w:rPr>
          <w:rFonts w:cs="Times New Roman"/>
          <w:szCs w:val="24"/>
        </w:rPr>
        <w:t xml:space="preserve">, supervision, </w:t>
      </w:r>
      <w:r w:rsidRPr="00BB3B7F">
        <w:rPr>
          <w:rFonts w:cs="Times New Roman"/>
          <w:szCs w:val="24"/>
        </w:rPr>
        <w:t>interpreted the data</w:t>
      </w:r>
      <w:r>
        <w:rPr>
          <w:rFonts w:cs="Times New Roman"/>
          <w:szCs w:val="24"/>
        </w:rPr>
        <w:t>, and writing-review &amp; editing</w:t>
      </w:r>
      <w:r w:rsidRPr="00BB3B7F">
        <w:rPr>
          <w:rFonts w:cs="Times New Roman"/>
          <w:szCs w:val="24"/>
        </w:rPr>
        <w:t>. FAR arranged the main manuscript. FAR performed the data collection and analyzed the data. All authors approved the final manuscript.</w:t>
      </w:r>
    </w:p>
    <w:p w14:paraId="058A9D70" w14:textId="77777777" w:rsidR="00BB273D" w:rsidRPr="00BB3B7F" w:rsidRDefault="00BB273D" w:rsidP="00CD341D">
      <w:pPr>
        <w:spacing w:line="480" w:lineRule="auto"/>
        <w:ind w:right="110"/>
        <w:rPr>
          <w:b/>
          <w:bCs/>
        </w:rPr>
      </w:pPr>
      <w:r w:rsidRPr="00BB3B7F">
        <w:rPr>
          <w:b/>
          <w:bCs/>
        </w:rPr>
        <w:t xml:space="preserve">Conflict of Interest </w:t>
      </w:r>
    </w:p>
    <w:p w14:paraId="5739A9CE" w14:textId="5A3433DA" w:rsidR="00423CA3" w:rsidRDefault="00BB273D" w:rsidP="00CD341D">
      <w:pPr>
        <w:spacing w:line="480" w:lineRule="auto"/>
        <w:ind w:right="110"/>
      </w:pPr>
      <w:r w:rsidRPr="00BB3B7F">
        <w:t>All authors declare no conflict of interest</w:t>
      </w:r>
    </w:p>
    <w:p w14:paraId="61CF872C" w14:textId="77777777" w:rsidR="00CD341D" w:rsidRPr="00BB3B7F" w:rsidRDefault="00CD341D" w:rsidP="00CD341D">
      <w:pPr>
        <w:spacing w:line="480" w:lineRule="auto"/>
        <w:ind w:right="110"/>
      </w:pPr>
    </w:p>
    <w:p w14:paraId="2F426A87" w14:textId="77777777" w:rsidR="00BB273D" w:rsidRPr="00BB3B7F" w:rsidRDefault="00BB273D" w:rsidP="00BB273D">
      <w:pPr>
        <w:ind w:right="110"/>
        <w:rPr>
          <w:b/>
          <w:bCs/>
        </w:rPr>
      </w:pPr>
      <w:r w:rsidRPr="00BB3B7F">
        <w:rPr>
          <w:b/>
          <w:bCs/>
        </w:rPr>
        <w:t xml:space="preserve">Data Availability </w:t>
      </w:r>
    </w:p>
    <w:p w14:paraId="55C54FA2" w14:textId="026A7102" w:rsidR="00BB273D" w:rsidRPr="00BB3B7F" w:rsidRDefault="00E83660" w:rsidP="00CD341D">
      <w:pPr>
        <w:spacing w:after="240" w:line="480" w:lineRule="auto"/>
        <w:ind w:left="109" w:right="110" w:firstLine="344"/>
        <w:rPr>
          <w:rFonts w:cs="Times New Roman"/>
          <w:noProof w:val="0"/>
          <w:szCs w:val="24"/>
        </w:rPr>
      </w:pPr>
      <w:r w:rsidRPr="00BB3B7F">
        <w:rPr>
          <w:rFonts w:cs="Times New Roman"/>
          <w:szCs w:val="24"/>
        </w:rPr>
        <w:t>All data generated or analysed during this study are included in this published article.</w:t>
      </w:r>
    </w:p>
    <w:p w14:paraId="1E388F03" w14:textId="77777777" w:rsidR="00BB273D" w:rsidRPr="00BB3B7F" w:rsidRDefault="00BB273D" w:rsidP="00BB273D">
      <w:pPr>
        <w:ind w:right="110"/>
        <w:rPr>
          <w:b/>
          <w:bCs/>
        </w:rPr>
      </w:pPr>
      <w:r w:rsidRPr="00BB3B7F">
        <w:rPr>
          <w:b/>
          <w:bCs/>
        </w:rPr>
        <w:t xml:space="preserve">Ethics Approval </w:t>
      </w:r>
    </w:p>
    <w:p w14:paraId="26FD29BF" w14:textId="5A984269" w:rsidR="00BB273D" w:rsidRDefault="00BB273D" w:rsidP="00CD341D">
      <w:pPr>
        <w:spacing w:line="480" w:lineRule="auto"/>
        <w:ind w:right="110"/>
      </w:pPr>
      <w:r w:rsidRPr="00BB3B7F">
        <w:t>Not applicable to this paper</w:t>
      </w:r>
    </w:p>
    <w:p w14:paraId="7C80E562" w14:textId="77777777" w:rsidR="00874A71" w:rsidRDefault="00874A71" w:rsidP="00BB273D">
      <w:pPr>
        <w:ind w:right="110"/>
      </w:pPr>
    </w:p>
    <w:p w14:paraId="54457E58" w14:textId="77777777" w:rsidR="00874A71" w:rsidRPr="00BB3B7F" w:rsidRDefault="00874A71" w:rsidP="00BB273D">
      <w:pPr>
        <w:ind w:right="110"/>
        <w:rPr>
          <w:rFonts w:cs="Times New Roman"/>
          <w:b/>
          <w:bCs/>
          <w:noProof w:val="0"/>
          <w:szCs w:val="24"/>
        </w:rPr>
      </w:pPr>
    </w:p>
    <w:p w14:paraId="7473AEE3" w14:textId="77777777" w:rsidR="00BB273D" w:rsidRDefault="00BB273D" w:rsidP="00BB273D"/>
    <w:p w14:paraId="7625D19B" w14:textId="77777777" w:rsidR="00BB273D" w:rsidRDefault="00BB273D" w:rsidP="00BB273D"/>
    <w:p w14:paraId="1CD907B6" w14:textId="77777777" w:rsidR="00A51F09" w:rsidRPr="00A51F09" w:rsidRDefault="00A51F09" w:rsidP="00A51F09"/>
    <w:p w14:paraId="5136B499" w14:textId="77777777" w:rsidR="00A51F09" w:rsidRDefault="00A51F09">
      <w:pPr>
        <w:spacing w:after="160" w:line="259" w:lineRule="auto"/>
        <w:jc w:val="left"/>
        <w:rPr>
          <w:b/>
          <w:bCs/>
        </w:rPr>
      </w:pPr>
      <w:r>
        <w:rPr>
          <w:b/>
          <w:bCs/>
        </w:rPr>
        <w:br w:type="page"/>
      </w:r>
    </w:p>
    <w:p w14:paraId="508671BC" w14:textId="0D5A0321" w:rsidR="00A51F09" w:rsidRPr="00A51F09" w:rsidRDefault="00A51F09" w:rsidP="00A51F09">
      <w:pPr>
        <w:rPr>
          <w:b/>
          <w:bCs/>
        </w:rPr>
      </w:pPr>
      <w:r w:rsidRPr="00A51F09">
        <w:rPr>
          <w:b/>
          <w:bCs/>
        </w:rPr>
        <w:lastRenderedPageBreak/>
        <w:t>Referensi</w:t>
      </w:r>
    </w:p>
    <w:p w14:paraId="50C60A4B" w14:textId="6954F610" w:rsidR="00A51F09" w:rsidRPr="008638E6" w:rsidRDefault="00A51F09" w:rsidP="008638E6">
      <w:pPr>
        <w:ind w:left="900" w:hanging="900"/>
      </w:pPr>
      <w:r w:rsidRPr="00A51F09">
        <w:rPr>
          <w:b/>
          <w:bCs/>
        </w:rPr>
        <w:fldChar w:fldCharType="begin" w:fldLock="1"/>
      </w:r>
      <w:r w:rsidRPr="00A51F09">
        <w:rPr>
          <w:b/>
          <w:bCs/>
        </w:rPr>
        <w:instrText xml:space="preserve">ADDIN Mendeley Bibliography CSL_BIBLIOGRAPHY </w:instrText>
      </w:r>
      <w:r w:rsidRPr="00A51F09">
        <w:rPr>
          <w:b/>
          <w:bCs/>
        </w:rPr>
        <w:fldChar w:fldCharType="separate"/>
      </w:r>
      <w:r w:rsidRPr="00A51F09">
        <w:rPr>
          <w:lang w:val="id-ID"/>
        </w:rPr>
        <w:t>Agunbiade, O. S</w:t>
      </w:r>
      <w:r w:rsidR="00CB5660" w:rsidRPr="00CB5660">
        <w:rPr>
          <w:lang w:val="id-ID"/>
        </w:rPr>
        <w:t>.</w:t>
      </w:r>
      <w:r w:rsidRPr="00A51F09">
        <w:rPr>
          <w:lang w:val="id-ID"/>
        </w:rPr>
        <w:t xml:space="preserve"> Ojezele, O. M</w:t>
      </w:r>
      <w:r w:rsidR="00CB5660" w:rsidRPr="00CB5660">
        <w:rPr>
          <w:lang w:val="id-ID"/>
        </w:rPr>
        <w:t>.</w:t>
      </w:r>
      <w:r w:rsidRPr="00A51F09">
        <w:rPr>
          <w:lang w:val="id-ID"/>
        </w:rPr>
        <w:t xml:space="preserve"> Ojezele, J. O</w:t>
      </w:r>
      <w:r w:rsidR="00CB5660" w:rsidRPr="00CB5660">
        <w:rPr>
          <w:lang w:val="id-ID"/>
        </w:rPr>
        <w:t>.</w:t>
      </w:r>
      <w:r w:rsidRPr="00A51F09">
        <w:rPr>
          <w:lang w:val="id-ID"/>
        </w:rPr>
        <w:t xml:space="preserve"> &amp; Ajayi, A. Y. (2012). Hypoglycaemic activity of commelina Africana and ageratum conyzoides in relation to their mineral composition. </w:t>
      </w:r>
      <w:r w:rsidRPr="00A51F09">
        <w:rPr>
          <w:i/>
          <w:iCs/>
          <w:lang w:val="id-ID"/>
        </w:rPr>
        <w:t>African Health Sciences</w:t>
      </w:r>
      <w:r w:rsidRPr="00A51F09">
        <w:rPr>
          <w:lang w:val="id-ID"/>
        </w:rPr>
        <w:t xml:space="preserve">, </w:t>
      </w:r>
      <w:r w:rsidRPr="00A51F09">
        <w:rPr>
          <w:i/>
          <w:iCs/>
          <w:lang w:val="id-ID"/>
        </w:rPr>
        <w:t>12</w:t>
      </w:r>
      <w:r w:rsidRPr="00A51F09">
        <w:rPr>
          <w:lang w:val="id-ID"/>
        </w:rPr>
        <w:t>(2), 198–203. https://doi.org/10.4314/ahs.v12i2.19</w:t>
      </w:r>
      <w:r w:rsidR="008638E6">
        <w:t xml:space="preserve"> </w:t>
      </w:r>
    </w:p>
    <w:p w14:paraId="5885C6A5" w14:textId="3238710B" w:rsidR="00A51F09" w:rsidRDefault="00A51F09" w:rsidP="008638E6">
      <w:pPr>
        <w:ind w:left="900" w:hanging="900"/>
        <w:rPr>
          <w:lang w:val="id-ID"/>
        </w:rPr>
      </w:pPr>
      <w:r w:rsidRPr="00A51F09">
        <w:rPr>
          <w:lang w:val="id-ID"/>
        </w:rPr>
        <w:t>Banu, M</w:t>
      </w:r>
      <w:r w:rsidR="00CB5660" w:rsidRPr="00CB5660">
        <w:rPr>
          <w:lang w:val="id-ID"/>
        </w:rPr>
        <w:t>.</w:t>
      </w:r>
      <w:r w:rsidRPr="00A51F09">
        <w:rPr>
          <w:lang w:val="id-ID"/>
        </w:rPr>
        <w:t xml:space="preserve"> Supratman, H</w:t>
      </w:r>
      <w:r w:rsidR="00CB5660" w:rsidRPr="00CB5660">
        <w:rPr>
          <w:lang w:val="id-ID"/>
        </w:rPr>
        <w:t>.</w:t>
      </w:r>
      <w:r w:rsidRPr="00A51F09">
        <w:rPr>
          <w:lang w:val="id-ID"/>
        </w:rPr>
        <w:t xml:space="preserve"> &amp; Hidayati, Y. A. (2019). The Effect of Various Additive Materials on Physical Quality and Silase Chemical Rice Chemistry (Zea mays.L). </w:t>
      </w:r>
      <w:r w:rsidRPr="00A51F09">
        <w:rPr>
          <w:i/>
          <w:iCs/>
          <w:lang w:val="id-ID"/>
        </w:rPr>
        <w:t>Jurnal Ilmu Ternak Universitas Padjadjaran</w:t>
      </w:r>
      <w:r w:rsidRPr="00A51F09">
        <w:rPr>
          <w:lang w:val="id-ID"/>
        </w:rPr>
        <w:t xml:space="preserve">, </w:t>
      </w:r>
      <w:r w:rsidRPr="00A51F09">
        <w:rPr>
          <w:i/>
          <w:iCs/>
          <w:lang w:val="id-ID"/>
        </w:rPr>
        <w:t>19</w:t>
      </w:r>
      <w:r w:rsidRPr="00A51F09">
        <w:rPr>
          <w:lang w:val="id-ID"/>
        </w:rPr>
        <w:t>(2), 90–96. https://doi.org/10.24198/jit.v19i2.22840</w:t>
      </w:r>
    </w:p>
    <w:p w14:paraId="02B2A795" w14:textId="36E047AA" w:rsidR="00E83660" w:rsidRPr="00E83660" w:rsidRDefault="00E83660" w:rsidP="008638E6">
      <w:pPr>
        <w:ind w:left="900" w:hanging="900"/>
      </w:pPr>
      <w:r>
        <w:t xml:space="preserve">Cai, Y. Du, Z. Yamasaki, S. Nguluvey, D. Tinga, B. Macome, F. and Tetsuji, O. (2020). Influence of microbial additive on microbial populations, ensiling characteristics, and spoilage loss of delayed sealing silage of Napier grass. </w:t>
      </w:r>
      <w:r w:rsidRPr="00E83660">
        <w:rPr>
          <w:i/>
          <w:iCs/>
        </w:rPr>
        <w:t>Asian-Australas J Anim Sci,</w:t>
      </w:r>
      <w:r>
        <w:t xml:space="preserve"> 33(7), 1103-1112. https://doi.org/10.5713/ajas.19.0471</w:t>
      </w:r>
    </w:p>
    <w:p w14:paraId="1F229B42" w14:textId="10A4D77E" w:rsidR="00A51F09" w:rsidRPr="00A51F09" w:rsidRDefault="00A51F09" w:rsidP="008638E6">
      <w:pPr>
        <w:ind w:left="900" w:hanging="900"/>
        <w:rPr>
          <w:lang w:val="id-ID"/>
        </w:rPr>
      </w:pPr>
      <w:r w:rsidRPr="00A51F09">
        <w:rPr>
          <w:lang w:val="id-ID"/>
        </w:rPr>
        <w:t xml:space="preserve">Christi, R. F. (2019). </w:t>
      </w:r>
      <w:r w:rsidR="00CD341D" w:rsidRPr="00CD341D">
        <w:rPr>
          <w:lang w:val="id-ID"/>
        </w:rPr>
        <w:t>Physical Quality and Palatability of Fermented Concentrate in Ettawa Cross-Broed Dairy Goat Diets</w:t>
      </w:r>
      <w:r w:rsidRPr="00A51F09">
        <w:rPr>
          <w:lang w:val="id-ID"/>
        </w:rPr>
        <w:t xml:space="preserve">. </w:t>
      </w:r>
      <w:r w:rsidRPr="00A51F09">
        <w:rPr>
          <w:i/>
          <w:iCs/>
          <w:lang w:val="id-ID"/>
        </w:rPr>
        <w:t>Jurnal Ilmu Ternak Universitas Padjadjaran</w:t>
      </w:r>
      <w:r w:rsidRPr="00A51F09">
        <w:rPr>
          <w:lang w:val="id-ID"/>
        </w:rPr>
        <w:t xml:space="preserve">, </w:t>
      </w:r>
      <w:r w:rsidRPr="00A51F09">
        <w:rPr>
          <w:i/>
          <w:iCs/>
          <w:lang w:val="id-ID"/>
        </w:rPr>
        <w:t>18</w:t>
      </w:r>
      <w:r w:rsidRPr="00A51F09">
        <w:rPr>
          <w:lang w:val="id-ID"/>
        </w:rPr>
        <w:t>(2), 121–125. https://doi.org/10.24198/jit.v18i2.19461</w:t>
      </w:r>
    </w:p>
    <w:p w14:paraId="0DAAFB5C" w14:textId="75988D25" w:rsidR="00A51F09" w:rsidRPr="00A51F09" w:rsidRDefault="00A51F09" w:rsidP="008638E6">
      <w:pPr>
        <w:ind w:left="900" w:hanging="900"/>
        <w:rPr>
          <w:lang w:val="id-ID"/>
        </w:rPr>
      </w:pPr>
      <w:r w:rsidRPr="00A51F09">
        <w:rPr>
          <w:lang w:val="id-ID"/>
        </w:rPr>
        <w:t>González-Jartín, J. M</w:t>
      </w:r>
      <w:r w:rsidR="00CB5660" w:rsidRPr="00CB5660">
        <w:rPr>
          <w:lang w:val="id-ID"/>
        </w:rPr>
        <w:t>.</w:t>
      </w:r>
      <w:r w:rsidRPr="00A51F09">
        <w:rPr>
          <w:lang w:val="id-ID"/>
        </w:rPr>
        <w:t xml:space="preserve"> Ferreiroa, V</w:t>
      </w:r>
      <w:r w:rsidR="00CB5660" w:rsidRPr="00CB5660">
        <w:rPr>
          <w:lang w:val="id-ID"/>
        </w:rPr>
        <w:t>.</w:t>
      </w:r>
      <w:r w:rsidRPr="00A51F09">
        <w:rPr>
          <w:lang w:val="id-ID"/>
        </w:rPr>
        <w:t xml:space="preserve"> Rodríguez-Cañás, I</w:t>
      </w:r>
      <w:r w:rsidR="00CB5660" w:rsidRPr="00CB5660">
        <w:rPr>
          <w:lang w:val="id-ID"/>
        </w:rPr>
        <w:t>.</w:t>
      </w:r>
      <w:r w:rsidRPr="00A51F09">
        <w:rPr>
          <w:lang w:val="id-ID"/>
        </w:rPr>
        <w:t xml:space="preserve"> Alfonso, A</w:t>
      </w:r>
      <w:r w:rsidR="00CB5660" w:rsidRPr="00CB5660">
        <w:rPr>
          <w:lang w:val="id-ID"/>
        </w:rPr>
        <w:t>.</w:t>
      </w:r>
      <w:r w:rsidRPr="00A51F09">
        <w:rPr>
          <w:lang w:val="id-ID"/>
        </w:rPr>
        <w:t xml:space="preserve"> Sainz, M. J</w:t>
      </w:r>
      <w:r w:rsidR="00CB5660" w:rsidRPr="00CB5660">
        <w:rPr>
          <w:lang w:val="id-ID"/>
        </w:rPr>
        <w:t>.</w:t>
      </w:r>
      <w:r w:rsidRPr="00A51F09">
        <w:rPr>
          <w:lang w:val="id-ID"/>
        </w:rPr>
        <w:t xml:space="preserve"> Aguín, O</w:t>
      </w:r>
      <w:r w:rsidR="00CB5660" w:rsidRPr="00CB5660">
        <w:rPr>
          <w:lang w:val="id-ID"/>
        </w:rPr>
        <w:t>.</w:t>
      </w:r>
      <w:r w:rsidRPr="00A51F09">
        <w:rPr>
          <w:lang w:val="id-ID"/>
        </w:rPr>
        <w:t xml:space="preserve"> Vieytes, M. R</w:t>
      </w:r>
      <w:r w:rsidR="00CB5660" w:rsidRPr="00CB5660">
        <w:rPr>
          <w:lang w:val="id-ID"/>
        </w:rPr>
        <w:t>.</w:t>
      </w:r>
      <w:r w:rsidRPr="00A51F09">
        <w:rPr>
          <w:lang w:val="id-ID"/>
        </w:rPr>
        <w:t xml:space="preserve"> Gomes, A</w:t>
      </w:r>
      <w:r w:rsidR="00CB5660" w:rsidRPr="00CB5660">
        <w:rPr>
          <w:lang w:val="id-ID"/>
        </w:rPr>
        <w:t>.</w:t>
      </w:r>
      <w:r w:rsidRPr="00A51F09">
        <w:rPr>
          <w:lang w:val="id-ID"/>
        </w:rPr>
        <w:t xml:space="preserve"> Ramos, I</w:t>
      </w:r>
      <w:r w:rsidR="00CB5660" w:rsidRPr="00CB5660">
        <w:rPr>
          <w:lang w:val="id-ID"/>
        </w:rPr>
        <w:t>.</w:t>
      </w:r>
      <w:r w:rsidRPr="00A51F09">
        <w:rPr>
          <w:lang w:val="id-ID"/>
        </w:rPr>
        <w:t xml:space="preserve"> &amp; Botana, L. M. (2022). Occurrence of mycotoxins and mycotoxigenic fungi in silage from the north of Portugal at feed-out. </w:t>
      </w:r>
      <w:r w:rsidRPr="00A51F09">
        <w:rPr>
          <w:i/>
          <w:iCs/>
          <w:lang w:val="id-ID"/>
        </w:rPr>
        <w:t>International Journal of Food Microbiology</w:t>
      </w:r>
      <w:r w:rsidRPr="00A51F09">
        <w:rPr>
          <w:lang w:val="id-ID"/>
        </w:rPr>
        <w:t xml:space="preserve">, </w:t>
      </w:r>
      <w:r w:rsidRPr="00A51F09">
        <w:rPr>
          <w:i/>
          <w:iCs/>
          <w:lang w:val="id-ID"/>
        </w:rPr>
        <w:t>365</w:t>
      </w:r>
      <w:r w:rsidRPr="00A51F09">
        <w:rPr>
          <w:lang w:val="id-ID"/>
        </w:rPr>
        <w:t>. https://doi.org/10.1016/j.ijfoodmicro.2022.109556</w:t>
      </w:r>
    </w:p>
    <w:p w14:paraId="7379BDBA" w14:textId="57AED358" w:rsidR="00A51F09" w:rsidRDefault="00A51F09" w:rsidP="008638E6">
      <w:pPr>
        <w:ind w:left="900" w:hanging="900"/>
        <w:rPr>
          <w:lang w:val="id-ID"/>
        </w:rPr>
      </w:pPr>
      <w:r w:rsidRPr="00A51F09">
        <w:rPr>
          <w:lang w:val="id-ID"/>
        </w:rPr>
        <w:t>Grant, R. J</w:t>
      </w:r>
      <w:r w:rsidR="00CB5660" w:rsidRPr="00CB5660">
        <w:rPr>
          <w:lang w:val="id-ID"/>
        </w:rPr>
        <w:t>.</w:t>
      </w:r>
      <w:r w:rsidRPr="00A51F09">
        <w:rPr>
          <w:lang w:val="id-ID"/>
        </w:rPr>
        <w:t xml:space="preserve"> &amp; Adesogan, A. T. (2018). Journal of Dairy Science Silage Special Issue: Introduction. In </w:t>
      </w:r>
      <w:r w:rsidRPr="00A51F09">
        <w:rPr>
          <w:i/>
          <w:iCs/>
          <w:lang w:val="id-ID"/>
        </w:rPr>
        <w:t>Journal of Dairy Science</w:t>
      </w:r>
      <w:r w:rsidRPr="00A51F09">
        <w:rPr>
          <w:lang w:val="id-ID"/>
        </w:rPr>
        <w:t xml:space="preserve"> (Vol. 101, Issue 5, pp. 3935–3936). Elsevier Inc. https://doi.org/10.3168/jds.2018-14630</w:t>
      </w:r>
    </w:p>
    <w:p w14:paraId="413FB475" w14:textId="17E59B8E" w:rsidR="00646D46" w:rsidRPr="00A51F09" w:rsidRDefault="00646D46" w:rsidP="008638E6">
      <w:pPr>
        <w:ind w:left="900" w:hanging="900"/>
        <w:rPr>
          <w:lang w:val="id-ID"/>
        </w:rPr>
      </w:pPr>
      <w:r w:rsidRPr="00646D46">
        <w:rPr>
          <w:lang w:val="id-ID"/>
        </w:rPr>
        <w:t>Hisham, M.B</w:t>
      </w:r>
      <w:r w:rsidR="00CB5660" w:rsidRPr="00CB5660">
        <w:rPr>
          <w:lang w:val="id-ID"/>
        </w:rPr>
        <w:t>.</w:t>
      </w:r>
      <w:r w:rsidRPr="00646D46">
        <w:rPr>
          <w:lang w:val="id-ID"/>
        </w:rPr>
        <w:t xml:space="preserve"> Hashim, A.M</w:t>
      </w:r>
      <w:r w:rsidR="00CB5660" w:rsidRPr="00CB5660">
        <w:rPr>
          <w:lang w:val="id-ID"/>
        </w:rPr>
        <w:t>.</w:t>
      </w:r>
      <w:r w:rsidRPr="00646D46">
        <w:rPr>
          <w:lang w:val="id-ID"/>
        </w:rPr>
        <w:t xml:space="preserve"> Mohd Hanafi, N. </w:t>
      </w:r>
      <w:r w:rsidR="00F37D33" w:rsidRPr="00F37D33">
        <w:rPr>
          <w:i/>
          <w:iCs/>
          <w:lang w:val="id-ID"/>
        </w:rPr>
        <w:t>et al</w:t>
      </w:r>
      <w:r w:rsidRPr="00646D46">
        <w:rPr>
          <w:lang w:val="id-ID"/>
        </w:rPr>
        <w:t>. Bacterial communities associated with silage of different forage crops in Malaysian climate analysed using 16S amplicon metagenomics. Sci Rep 12, 7107 (2022). https://doi.org/10.1038/s41598-022-08819-4</w:t>
      </w:r>
    </w:p>
    <w:p w14:paraId="20708973" w14:textId="12B3182A" w:rsidR="00A51F09" w:rsidRPr="00A51F09" w:rsidRDefault="00A51F09" w:rsidP="008638E6">
      <w:pPr>
        <w:ind w:left="900" w:hanging="900"/>
        <w:rPr>
          <w:lang w:val="id-ID"/>
        </w:rPr>
      </w:pPr>
      <w:r w:rsidRPr="00A51F09">
        <w:rPr>
          <w:lang w:val="id-ID"/>
        </w:rPr>
        <w:t>Hu, Z</w:t>
      </w:r>
      <w:r w:rsidR="00CB5660" w:rsidRPr="00CB5660">
        <w:rPr>
          <w:lang w:val="id-ID"/>
        </w:rPr>
        <w:t>.</w:t>
      </w:r>
      <w:r w:rsidRPr="00A51F09">
        <w:rPr>
          <w:lang w:val="id-ID"/>
        </w:rPr>
        <w:t xml:space="preserve"> Niu, H</w:t>
      </w:r>
      <w:r w:rsidR="00CB5660" w:rsidRPr="00CB5660">
        <w:rPr>
          <w:lang w:val="id-ID"/>
        </w:rPr>
        <w:t>.</w:t>
      </w:r>
      <w:r w:rsidRPr="00A51F09">
        <w:rPr>
          <w:lang w:val="id-ID"/>
        </w:rPr>
        <w:t xml:space="preserve"> Tong, Q</w:t>
      </w:r>
      <w:r w:rsidR="00CB5660" w:rsidRPr="00CB5660">
        <w:rPr>
          <w:lang w:val="id-ID"/>
        </w:rPr>
        <w:t>.</w:t>
      </w:r>
      <w:r w:rsidRPr="00A51F09">
        <w:rPr>
          <w:lang w:val="id-ID"/>
        </w:rPr>
        <w:t xml:space="preserve"> Chang, J</w:t>
      </w:r>
      <w:r w:rsidR="00CB5660" w:rsidRPr="00CB5660">
        <w:rPr>
          <w:lang w:val="id-ID"/>
        </w:rPr>
        <w:t>.</w:t>
      </w:r>
      <w:r w:rsidRPr="00A51F09">
        <w:rPr>
          <w:lang w:val="id-ID"/>
        </w:rPr>
        <w:t xml:space="preserve"> Yu, J</w:t>
      </w:r>
      <w:r w:rsidR="00CB5660" w:rsidRPr="00CB5660">
        <w:rPr>
          <w:lang w:val="id-ID"/>
        </w:rPr>
        <w:t>.</w:t>
      </w:r>
      <w:r w:rsidRPr="00A51F09">
        <w:rPr>
          <w:lang w:val="id-ID"/>
        </w:rPr>
        <w:t xml:space="preserve"> Li, S</w:t>
      </w:r>
      <w:r w:rsidR="00CB5660" w:rsidRPr="00CB5660">
        <w:rPr>
          <w:lang w:val="id-ID"/>
        </w:rPr>
        <w:t>.</w:t>
      </w:r>
      <w:r w:rsidRPr="00A51F09">
        <w:rPr>
          <w:lang w:val="id-ID"/>
        </w:rPr>
        <w:t xml:space="preserve"> Zhang, S</w:t>
      </w:r>
      <w:r w:rsidR="00CB5660" w:rsidRPr="00CB5660">
        <w:rPr>
          <w:lang w:val="id-ID"/>
        </w:rPr>
        <w:t>.</w:t>
      </w:r>
      <w:r w:rsidRPr="00A51F09">
        <w:rPr>
          <w:lang w:val="id-ID"/>
        </w:rPr>
        <w:t xml:space="preserve"> &amp; Ma, D. (2020). The Microbiota Dynamics of Alfalfa Silage During Ensiling and After Air Exposure, and the Metabolomics After Air Exposure Are Affected by Lactobacillus casei and </w:t>
      </w:r>
      <w:r w:rsidRPr="00A51F09">
        <w:rPr>
          <w:lang w:val="id-ID"/>
        </w:rPr>
        <w:lastRenderedPageBreak/>
        <w:t xml:space="preserve">Cellulase Addition. </w:t>
      </w:r>
      <w:r w:rsidRPr="00A51F09">
        <w:rPr>
          <w:i/>
          <w:iCs/>
          <w:lang w:val="id-ID"/>
        </w:rPr>
        <w:t>Frontiers in Microbiology</w:t>
      </w:r>
      <w:r w:rsidRPr="00A51F09">
        <w:rPr>
          <w:lang w:val="id-ID"/>
        </w:rPr>
        <w:t xml:space="preserve">, </w:t>
      </w:r>
      <w:r w:rsidRPr="00A51F09">
        <w:rPr>
          <w:i/>
          <w:iCs/>
          <w:lang w:val="id-ID"/>
        </w:rPr>
        <w:t>11</w:t>
      </w:r>
      <w:r w:rsidRPr="00A51F09">
        <w:rPr>
          <w:lang w:val="id-ID"/>
        </w:rPr>
        <w:t>. https://doi.org/10.3389/fmicb.2020.519121</w:t>
      </w:r>
    </w:p>
    <w:p w14:paraId="1855C471" w14:textId="3706AAA8" w:rsidR="00A51F09" w:rsidRPr="00A51F09" w:rsidRDefault="00A51F09" w:rsidP="008638E6">
      <w:pPr>
        <w:ind w:left="900" w:hanging="900"/>
        <w:rPr>
          <w:lang w:val="id-ID"/>
        </w:rPr>
      </w:pPr>
      <w:r w:rsidRPr="00A51F09">
        <w:rPr>
          <w:lang w:val="id-ID"/>
        </w:rPr>
        <w:t>Kaashyap, M</w:t>
      </w:r>
      <w:r w:rsidR="00CB5660" w:rsidRPr="00CB5660">
        <w:rPr>
          <w:lang w:val="id-ID"/>
        </w:rPr>
        <w:t>.</w:t>
      </w:r>
      <w:r w:rsidRPr="00A51F09">
        <w:rPr>
          <w:lang w:val="id-ID"/>
        </w:rPr>
        <w:t xml:space="preserve"> Cohen, M</w:t>
      </w:r>
      <w:r w:rsidR="00CB5660" w:rsidRPr="00CB5660">
        <w:rPr>
          <w:lang w:val="id-ID"/>
        </w:rPr>
        <w:t>.</w:t>
      </w:r>
      <w:r w:rsidRPr="00A51F09">
        <w:rPr>
          <w:lang w:val="id-ID"/>
        </w:rPr>
        <w:t xml:space="preserve"> &amp; Mantri, N. (2021). Microbial diversity and characteristics of kombucha as revealed by metagenomic and physicochemical analysis. </w:t>
      </w:r>
      <w:r w:rsidRPr="00A51F09">
        <w:rPr>
          <w:i/>
          <w:iCs/>
          <w:lang w:val="id-ID"/>
        </w:rPr>
        <w:t>Nutrients</w:t>
      </w:r>
      <w:r w:rsidRPr="00A51F09">
        <w:rPr>
          <w:lang w:val="id-ID"/>
        </w:rPr>
        <w:t xml:space="preserve">, </w:t>
      </w:r>
      <w:r w:rsidRPr="00A51F09">
        <w:rPr>
          <w:i/>
          <w:iCs/>
          <w:lang w:val="id-ID"/>
        </w:rPr>
        <w:t>13</w:t>
      </w:r>
      <w:r w:rsidRPr="00A51F09">
        <w:rPr>
          <w:lang w:val="id-ID"/>
        </w:rPr>
        <w:t>(12). https://doi.org/10.3390/nu13124446</w:t>
      </w:r>
    </w:p>
    <w:p w14:paraId="2D5DD75A" w14:textId="53670D43" w:rsidR="00A51F09" w:rsidRPr="00A51F09" w:rsidRDefault="00A51F09" w:rsidP="008638E6">
      <w:pPr>
        <w:ind w:left="900" w:hanging="900"/>
        <w:rPr>
          <w:lang w:val="id-ID"/>
        </w:rPr>
      </w:pPr>
      <w:r w:rsidRPr="00A51F09">
        <w:rPr>
          <w:lang w:val="id-ID"/>
        </w:rPr>
        <w:t>Kenana, R. S</w:t>
      </w:r>
      <w:r w:rsidR="00CB5660" w:rsidRPr="00CB5660">
        <w:rPr>
          <w:lang w:val="id-ID"/>
        </w:rPr>
        <w:t>.</w:t>
      </w:r>
      <w:r w:rsidRPr="00A51F09">
        <w:rPr>
          <w:lang w:val="id-ID"/>
        </w:rPr>
        <w:t xml:space="preserve"> Onjoro, P. A</w:t>
      </w:r>
      <w:r w:rsidR="00CB5660" w:rsidRPr="00CB5660">
        <w:rPr>
          <w:lang w:val="id-ID"/>
        </w:rPr>
        <w:t>.</w:t>
      </w:r>
      <w:r w:rsidRPr="00A51F09">
        <w:rPr>
          <w:lang w:val="id-ID"/>
        </w:rPr>
        <w:t xml:space="preserve"> &amp; Ambula, M. K. (2020). Relative palatability and preference by red Maasai sheep offered brachiaria and Rhodes grass hay supplemented with calliandra leaves in Kenya. </w:t>
      </w:r>
      <w:r w:rsidRPr="00A51F09">
        <w:rPr>
          <w:i/>
          <w:iCs/>
          <w:lang w:val="id-ID"/>
        </w:rPr>
        <w:t>International Journal of Veterinary Science and Animal Husbandry</w:t>
      </w:r>
      <w:r w:rsidRPr="00A51F09">
        <w:rPr>
          <w:lang w:val="id-ID"/>
        </w:rPr>
        <w:t xml:space="preserve">, </w:t>
      </w:r>
      <w:r w:rsidRPr="00A51F09">
        <w:rPr>
          <w:i/>
          <w:iCs/>
          <w:lang w:val="id-ID"/>
        </w:rPr>
        <w:t>5</w:t>
      </w:r>
      <w:r w:rsidRPr="00A51F09">
        <w:rPr>
          <w:lang w:val="id-ID"/>
        </w:rPr>
        <w:t>(5), 18–22.</w:t>
      </w:r>
    </w:p>
    <w:p w14:paraId="041B694C" w14:textId="6E0D22C8" w:rsidR="00A51F09" w:rsidRPr="00A51F09" w:rsidRDefault="00A51F09" w:rsidP="008638E6">
      <w:pPr>
        <w:ind w:left="900" w:hanging="900"/>
        <w:rPr>
          <w:lang w:val="id-ID"/>
        </w:rPr>
      </w:pPr>
      <w:r w:rsidRPr="00A51F09">
        <w:rPr>
          <w:lang w:val="id-ID"/>
        </w:rPr>
        <w:t>Kung, L</w:t>
      </w:r>
      <w:r w:rsidR="00CB5660" w:rsidRPr="00CB5660">
        <w:rPr>
          <w:lang w:val="id-ID"/>
        </w:rPr>
        <w:t>.</w:t>
      </w:r>
      <w:r w:rsidRPr="00A51F09">
        <w:rPr>
          <w:lang w:val="id-ID"/>
        </w:rPr>
        <w:t xml:space="preserve"> Shaver, R. D</w:t>
      </w:r>
      <w:r w:rsidR="00CB5660" w:rsidRPr="00CB5660">
        <w:rPr>
          <w:lang w:val="id-ID"/>
        </w:rPr>
        <w:t>.</w:t>
      </w:r>
      <w:r w:rsidRPr="00A51F09">
        <w:rPr>
          <w:lang w:val="id-ID"/>
        </w:rPr>
        <w:t xml:space="preserve"> Grant, R. J</w:t>
      </w:r>
      <w:r w:rsidR="00CB5660" w:rsidRPr="00CB5660">
        <w:rPr>
          <w:lang w:val="id-ID"/>
        </w:rPr>
        <w:t>.</w:t>
      </w:r>
      <w:r w:rsidRPr="00A51F09">
        <w:rPr>
          <w:lang w:val="id-ID"/>
        </w:rPr>
        <w:t xml:space="preserve"> &amp; Schmidt, R. J. (2018). Silage review: Interpretation of chemical, microbial, and organoleptic components of silages. In </w:t>
      </w:r>
      <w:r w:rsidRPr="00A51F09">
        <w:rPr>
          <w:i/>
          <w:iCs/>
          <w:lang w:val="id-ID"/>
        </w:rPr>
        <w:t>Journal of Dairy Science</w:t>
      </w:r>
      <w:r w:rsidRPr="00A51F09">
        <w:rPr>
          <w:lang w:val="id-ID"/>
        </w:rPr>
        <w:t xml:space="preserve"> (Vol. 101, Issue 5, pp. 4020–4033). Elsevier Inc. https://doi.org/10.3168/jds.2017-13909</w:t>
      </w:r>
    </w:p>
    <w:p w14:paraId="2AA334AB" w14:textId="3159412E" w:rsidR="00A51F09" w:rsidRPr="00A51F09" w:rsidRDefault="00A51F09" w:rsidP="008638E6">
      <w:pPr>
        <w:ind w:left="900" w:hanging="900"/>
        <w:rPr>
          <w:lang w:val="id-ID"/>
        </w:rPr>
      </w:pPr>
      <w:r w:rsidRPr="00A51F09">
        <w:rPr>
          <w:lang w:val="id-ID"/>
        </w:rPr>
        <w:t>Kyambu, M. M</w:t>
      </w:r>
      <w:r w:rsidR="00CB5660" w:rsidRPr="00CB5660">
        <w:rPr>
          <w:lang w:val="id-ID"/>
        </w:rPr>
        <w:t>.</w:t>
      </w:r>
      <w:r w:rsidRPr="00A51F09">
        <w:rPr>
          <w:lang w:val="id-ID"/>
        </w:rPr>
        <w:t xml:space="preserve"> Ikusya1, K. T</w:t>
      </w:r>
      <w:r w:rsidR="00CB5660" w:rsidRPr="00CB5660">
        <w:rPr>
          <w:lang w:val="id-ID"/>
        </w:rPr>
        <w:t>.</w:t>
      </w:r>
      <w:r w:rsidRPr="00A51F09">
        <w:rPr>
          <w:lang w:val="id-ID"/>
        </w:rPr>
        <w:t xml:space="preserve"> &amp; Kimwele, M. B. (2021). DIET SELECTION AND INTAKE BY SHEEP FED IN A CAFETERIA SYSTEM Department of Agricultural and Food Security ,. </w:t>
      </w:r>
      <w:r w:rsidRPr="00A51F09">
        <w:rPr>
          <w:i/>
          <w:iCs/>
          <w:lang w:val="id-ID"/>
        </w:rPr>
        <w:t>E. Afri. Agri. For. J</w:t>
      </w:r>
      <w:r w:rsidRPr="00A51F09">
        <w:rPr>
          <w:lang w:val="id-ID"/>
        </w:rPr>
        <w:t xml:space="preserve">, </w:t>
      </w:r>
      <w:r w:rsidRPr="00A51F09">
        <w:rPr>
          <w:i/>
          <w:iCs/>
          <w:lang w:val="id-ID"/>
        </w:rPr>
        <w:t>85</w:t>
      </w:r>
      <w:r w:rsidRPr="00A51F09">
        <w:rPr>
          <w:lang w:val="id-ID"/>
        </w:rPr>
        <w:t>(1–4), 155–163.</w:t>
      </w:r>
    </w:p>
    <w:p w14:paraId="52285677" w14:textId="27A839C1" w:rsidR="00A51F09" w:rsidRPr="00A51F09" w:rsidRDefault="00A51F09" w:rsidP="008638E6">
      <w:pPr>
        <w:ind w:left="900" w:hanging="900"/>
        <w:rPr>
          <w:lang w:val="id-ID"/>
        </w:rPr>
      </w:pPr>
      <w:r w:rsidRPr="00A51F09">
        <w:rPr>
          <w:lang w:val="id-ID"/>
        </w:rPr>
        <w:t>Li, F</w:t>
      </w:r>
      <w:r w:rsidR="00CB5660" w:rsidRPr="00CB5660">
        <w:rPr>
          <w:lang w:val="id-ID"/>
        </w:rPr>
        <w:t>.</w:t>
      </w:r>
      <w:r w:rsidRPr="00A51F09">
        <w:rPr>
          <w:lang w:val="id-ID"/>
        </w:rPr>
        <w:t xml:space="preserve"> Zhang, B</w:t>
      </w:r>
      <w:r w:rsidR="00CB5660" w:rsidRPr="00CB5660">
        <w:rPr>
          <w:lang w:val="id-ID"/>
        </w:rPr>
        <w:t>.</w:t>
      </w:r>
      <w:r w:rsidRPr="00A51F09">
        <w:rPr>
          <w:lang w:val="id-ID"/>
        </w:rPr>
        <w:t xml:space="preserve"> Zhang, Y</w:t>
      </w:r>
      <w:r w:rsidR="00CB5660" w:rsidRPr="00CB5660">
        <w:rPr>
          <w:lang w:val="id-ID"/>
        </w:rPr>
        <w:t>.</w:t>
      </w:r>
      <w:r w:rsidRPr="00A51F09">
        <w:rPr>
          <w:lang w:val="id-ID"/>
        </w:rPr>
        <w:t xml:space="preserve"> Zhang, X</w:t>
      </w:r>
      <w:r w:rsidR="00CB5660" w:rsidRPr="00CB5660">
        <w:rPr>
          <w:lang w:val="id-ID"/>
        </w:rPr>
        <w:t>.</w:t>
      </w:r>
      <w:r w:rsidRPr="00A51F09">
        <w:rPr>
          <w:lang w:val="id-ID"/>
        </w:rPr>
        <w:t xml:space="preserve"> Usman, S</w:t>
      </w:r>
      <w:r w:rsidR="00CB5660" w:rsidRPr="00CB5660">
        <w:rPr>
          <w:lang w:val="id-ID"/>
        </w:rPr>
        <w:t>.</w:t>
      </w:r>
      <w:r w:rsidRPr="00A51F09">
        <w:rPr>
          <w:lang w:val="id-ID"/>
        </w:rPr>
        <w:t xml:space="preserve"> Ding, Z</w:t>
      </w:r>
      <w:r w:rsidR="00CB5660" w:rsidRPr="00CB5660">
        <w:rPr>
          <w:lang w:val="id-ID"/>
        </w:rPr>
        <w:t>.</w:t>
      </w:r>
      <w:r w:rsidRPr="00A51F09">
        <w:rPr>
          <w:lang w:val="id-ID"/>
        </w:rPr>
        <w:t xml:space="preserve"> Hao, L</w:t>
      </w:r>
      <w:r w:rsidR="00CB5660" w:rsidRPr="00CB5660">
        <w:rPr>
          <w:lang w:val="id-ID"/>
        </w:rPr>
        <w:t>.</w:t>
      </w:r>
      <w:r w:rsidRPr="00A51F09">
        <w:rPr>
          <w:lang w:val="id-ID"/>
        </w:rPr>
        <w:t xml:space="preserve"> &amp; Guo, X. (2022). Probiotic effect of ferulic acid esterase-producing </w:t>
      </w:r>
      <w:r w:rsidRPr="00CD341D">
        <w:rPr>
          <w:i/>
          <w:iCs/>
          <w:lang w:val="id-ID"/>
        </w:rPr>
        <w:t xml:space="preserve">Lactobacillus plantarum </w:t>
      </w:r>
      <w:r w:rsidRPr="00A51F09">
        <w:rPr>
          <w:lang w:val="id-ID"/>
        </w:rPr>
        <w:t xml:space="preserve">inoculated alfalfa silage on digestion, antioxidant, and immunity status of lactating dairy goats. </w:t>
      </w:r>
      <w:r w:rsidRPr="00A51F09">
        <w:rPr>
          <w:i/>
          <w:iCs/>
          <w:lang w:val="id-ID"/>
        </w:rPr>
        <w:t>Animal Nutrition</w:t>
      </w:r>
      <w:r w:rsidRPr="00A51F09">
        <w:rPr>
          <w:lang w:val="id-ID"/>
        </w:rPr>
        <w:t xml:space="preserve">, </w:t>
      </w:r>
      <w:r w:rsidRPr="00A51F09">
        <w:rPr>
          <w:i/>
          <w:iCs/>
          <w:lang w:val="id-ID"/>
        </w:rPr>
        <w:t>11</w:t>
      </w:r>
      <w:r w:rsidRPr="00A51F09">
        <w:rPr>
          <w:lang w:val="id-ID"/>
        </w:rPr>
        <w:t>, 38–47. https://doi.org/10.1016/j.aninu.2022.06.010</w:t>
      </w:r>
    </w:p>
    <w:p w14:paraId="708A04F8" w14:textId="3CC2A57E" w:rsidR="00A51F09" w:rsidRPr="00A51F09" w:rsidRDefault="00A51F09" w:rsidP="008638E6">
      <w:pPr>
        <w:ind w:left="900" w:hanging="900"/>
        <w:rPr>
          <w:lang w:val="id-ID"/>
        </w:rPr>
      </w:pPr>
      <w:r w:rsidRPr="00A51F09">
        <w:rPr>
          <w:lang w:val="id-ID"/>
        </w:rPr>
        <w:t>Muck, R. E</w:t>
      </w:r>
      <w:r w:rsidR="00CB5660" w:rsidRPr="00CB5660">
        <w:rPr>
          <w:lang w:val="id-ID"/>
        </w:rPr>
        <w:t>.</w:t>
      </w:r>
      <w:r w:rsidRPr="00A51F09">
        <w:rPr>
          <w:lang w:val="id-ID"/>
        </w:rPr>
        <w:t xml:space="preserve"> Nadeau, E. M. G</w:t>
      </w:r>
      <w:r w:rsidR="00CB5660" w:rsidRPr="00CB5660">
        <w:rPr>
          <w:lang w:val="id-ID"/>
        </w:rPr>
        <w:t>.</w:t>
      </w:r>
      <w:r w:rsidRPr="00A51F09">
        <w:rPr>
          <w:lang w:val="id-ID"/>
        </w:rPr>
        <w:t xml:space="preserve"> McAllister, T. A</w:t>
      </w:r>
      <w:r w:rsidR="00CB5660" w:rsidRPr="00CB5660">
        <w:rPr>
          <w:lang w:val="id-ID"/>
        </w:rPr>
        <w:t>.</w:t>
      </w:r>
      <w:r w:rsidRPr="00A51F09">
        <w:rPr>
          <w:lang w:val="id-ID"/>
        </w:rPr>
        <w:t xml:space="preserve"> Contreras-Govea, F. E</w:t>
      </w:r>
      <w:r w:rsidR="00CB5660" w:rsidRPr="00CB5660">
        <w:rPr>
          <w:lang w:val="id-ID"/>
        </w:rPr>
        <w:t>.</w:t>
      </w:r>
      <w:r w:rsidRPr="00A51F09">
        <w:rPr>
          <w:lang w:val="id-ID"/>
        </w:rPr>
        <w:t xml:space="preserve"> Santos, M. C</w:t>
      </w:r>
      <w:r w:rsidR="00CB5660" w:rsidRPr="00CB5660">
        <w:rPr>
          <w:lang w:val="id-ID"/>
        </w:rPr>
        <w:t>.</w:t>
      </w:r>
      <w:r w:rsidRPr="00A51F09">
        <w:rPr>
          <w:lang w:val="id-ID"/>
        </w:rPr>
        <w:t xml:space="preserve"> &amp; Kung, L. (2018). Silage review: Recent advances and future uses of silage additives. In </w:t>
      </w:r>
      <w:r w:rsidRPr="00A51F09">
        <w:rPr>
          <w:i/>
          <w:iCs/>
          <w:lang w:val="id-ID"/>
        </w:rPr>
        <w:t>Journal of Dairy Science</w:t>
      </w:r>
      <w:r w:rsidRPr="00A51F09">
        <w:rPr>
          <w:lang w:val="id-ID"/>
        </w:rPr>
        <w:t xml:space="preserve"> (Vol. 101, Issue 5, pp. 3980–4000). Elsevier Inc. https://doi.org/10.3168/jds.2017-13839</w:t>
      </w:r>
    </w:p>
    <w:p w14:paraId="79ED93F4" w14:textId="681ED3DC" w:rsidR="00A51F09" w:rsidRPr="00A51F09" w:rsidRDefault="00A51F09" w:rsidP="008638E6">
      <w:pPr>
        <w:ind w:left="900" w:hanging="900"/>
        <w:rPr>
          <w:lang w:val="id-ID"/>
        </w:rPr>
      </w:pPr>
      <w:r w:rsidRPr="00A51F09">
        <w:rPr>
          <w:lang w:val="id-ID"/>
        </w:rPr>
        <w:t>Ogunade, I. M</w:t>
      </w:r>
      <w:r w:rsidR="00CB5660" w:rsidRPr="00CB5660">
        <w:rPr>
          <w:lang w:val="id-ID"/>
        </w:rPr>
        <w:t>.</w:t>
      </w:r>
      <w:r w:rsidRPr="00A51F09">
        <w:rPr>
          <w:lang w:val="id-ID"/>
        </w:rPr>
        <w:t xml:space="preserve"> Martinez-Tuppia, C</w:t>
      </w:r>
      <w:r w:rsidR="00CB5660" w:rsidRPr="00CB5660">
        <w:rPr>
          <w:lang w:val="id-ID"/>
        </w:rPr>
        <w:t>.</w:t>
      </w:r>
      <w:r w:rsidRPr="00A51F09">
        <w:rPr>
          <w:lang w:val="id-ID"/>
        </w:rPr>
        <w:t xml:space="preserve"> Queiroz, O. C. M</w:t>
      </w:r>
      <w:r w:rsidR="00CB5660" w:rsidRPr="00CB5660">
        <w:rPr>
          <w:lang w:val="id-ID"/>
        </w:rPr>
        <w:t>.</w:t>
      </w:r>
      <w:r w:rsidRPr="00A51F09">
        <w:rPr>
          <w:lang w:val="id-ID"/>
        </w:rPr>
        <w:t xml:space="preserve"> Jiang, Y</w:t>
      </w:r>
      <w:r w:rsidR="00CB5660" w:rsidRPr="00CB5660">
        <w:rPr>
          <w:lang w:val="id-ID"/>
        </w:rPr>
        <w:t>.</w:t>
      </w:r>
      <w:r w:rsidRPr="00A51F09">
        <w:rPr>
          <w:lang w:val="id-ID"/>
        </w:rPr>
        <w:t xml:space="preserve"> Drouin, P</w:t>
      </w:r>
      <w:r w:rsidR="00CB5660" w:rsidRPr="00CB5660">
        <w:rPr>
          <w:lang w:val="id-ID"/>
        </w:rPr>
        <w:t>.</w:t>
      </w:r>
      <w:r w:rsidRPr="00A51F09">
        <w:rPr>
          <w:lang w:val="id-ID"/>
        </w:rPr>
        <w:t xml:space="preserve"> Wu, F</w:t>
      </w:r>
      <w:r w:rsidR="00CB5660" w:rsidRPr="00CB5660">
        <w:rPr>
          <w:lang w:val="id-ID"/>
        </w:rPr>
        <w:t>.</w:t>
      </w:r>
      <w:r w:rsidRPr="00A51F09">
        <w:rPr>
          <w:lang w:val="id-ID"/>
        </w:rPr>
        <w:t xml:space="preserve"> Vyas, D</w:t>
      </w:r>
      <w:r w:rsidR="00CB5660" w:rsidRPr="00CB5660">
        <w:rPr>
          <w:lang w:val="id-ID"/>
        </w:rPr>
        <w:t>.</w:t>
      </w:r>
      <w:r w:rsidRPr="00A51F09">
        <w:rPr>
          <w:lang w:val="id-ID"/>
        </w:rPr>
        <w:t xml:space="preserve"> &amp; Adesogan, A. T. (2018). Silage review: Mycotoxins in silage: Occurrence, effects, prevention, and mitigation. </w:t>
      </w:r>
      <w:r w:rsidRPr="00A51F09">
        <w:rPr>
          <w:i/>
          <w:iCs/>
          <w:lang w:val="id-ID"/>
        </w:rPr>
        <w:t>Journal of Dairy Science</w:t>
      </w:r>
      <w:r w:rsidRPr="00A51F09">
        <w:rPr>
          <w:lang w:val="id-ID"/>
        </w:rPr>
        <w:t xml:space="preserve">, </w:t>
      </w:r>
      <w:r w:rsidRPr="00A51F09">
        <w:rPr>
          <w:i/>
          <w:iCs/>
          <w:lang w:val="id-ID"/>
        </w:rPr>
        <w:t>101</w:t>
      </w:r>
      <w:r w:rsidRPr="00A51F09">
        <w:rPr>
          <w:lang w:val="id-ID"/>
        </w:rPr>
        <w:t>(5), 4034–4059. https://doi.org/10.3168/jds.2017-13788</w:t>
      </w:r>
    </w:p>
    <w:p w14:paraId="2A51ED34" w14:textId="72B12663" w:rsidR="00A51F09" w:rsidRPr="00A51F09" w:rsidRDefault="00A51F09" w:rsidP="008638E6">
      <w:pPr>
        <w:ind w:left="900" w:hanging="900"/>
        <w:rPr>
          <w:lang w:val="id-ID"/>
        </w:rPr>
      </w:pPr>
      <w:r w:rsidRPr="00A51F09">
        <w:rPr>
          <w:lang w:val="id-ID"/>
        </w:rPr>
        <w:t>Purwin, C</w:t>
      </w:r>
      <w:r w:rsidR="00CB5660" w:rsidRPr="00CB5660">
        <w:rPr>
          <w:lang w:val="id-ID"/>
        </w:rPr>
        <w:t>.</w:t>
      </w:r>
      <w:r w:rsidRPr="00A51F09">
        <w:rPr>
          <w:lang w:val="id-ID"/>
        </w:rPr>
        <w:t xml:space="preserve"> Borsuk-Stanulewicz, M</w:t>
      </w:r>
      <w:r w:rsidR="00CB5660" w:rsidRPr="00CB5660">
        <w:rPr>
          <w:lang w:val="id-ID"/>
        </w:rPr>
        <w:t>.</w:t>
      </w:r>
      <w:r w:rsidRPr="00A51F09">
        <w:rPr>
          <w:lang w:val="id-ID"/>
        </w:rPr>
        <w:t xml:space="preserve"> Nogalski, Z</w:t>
      </w:r>
      <w:r w:rsidR="00CB5660" w:rsidRPr="00CB5660">
        <w:rPr>
          <w:lang w:val="id-ID"/>
        </w:rPr>
        <w:t>.</w:t>
      </w:r>
      <w:r w:rsidRPr="00A51F09">
        <w:rPr>
          <w:lang w:val="id-ID"/>
        </w:rPr>
        <w:t xml:space="preserve"> Baranowska, M</w:t>
      </w:r>
      <w:r w:rsidR="00CB5660" w:rsidRPr="00CB5660">
        <w:rPr>
          <w:lang w:val="id-ID"/>
        </w:rPr>
        <w:t>.</w:t>
      </w:r>
      <w:r w:rsidRPr="00A51F09">
        <w:rPr>
          <w:lang w:val="id-ID"/>
        </w:rPr>
        <w:t xml:space="preserve"> Zygmuntowicz, A</w:t>
      </w:r>
      <w:r w:rsidR="00CB5660" w:rsidRPr="00CB5660">
        <w:rPr>
          <w:lang w:val="id-ID"/>
        </w:rPr>
        <w:t>.</w:t>
      </w:r>
      <w:r w:rsidRPr="00A51F09">
        <w:rPr>
          <w:lang w:val="id-ID"/>
        </w:rPr>
        <w:t xml:space="preserve"> &amp; Michalski, J. P. (2022). Digestibility and palatability of </w:t>
      </w:r>
      <w:r w:rsidRPr="00CD341D">
        <w:rPr>
          <w:i/>
          <w:iCs/>
          <w:lang w:val="id-ID"/>
        </w:rPr>
        <w:t xml:space="preserve">Virginia fanpetals </w:t>
      </w:r>
      <w:r w:rsidRPr="00A51F09">
        <w:rPr>
          <w:lang w:val="id-ID"/>
        </w:rPr>
        <w:t>(</w:t>
      </w:r>
      <w:r w:rsidRPr="00CD341D">
        <w:rPr>
          <w:i/>
          <w:iCs/>
          <w:lang w:val="id-ID"/>
        </w:rPr>
        <w:t xml:space="preserve">Sida </w:t>
      </w:r>
      <w:r w:rsidRPr="00CD341D">
        <w:rPr>
          <w:i/>
          <w:iCs/>
          <w:lang w:val="id-ID"/>
        </w:rPr>
        <w:lastRenderedPageBreak/>
        <w:t>hermaphrodita</w:t>
      </w:r>
      <w:r w:rsidRPr="00A51F09">
        <w:rPr>
          <w:lang w:val="id-ID"/>
        </w:rPr>
        <w:t xml:space="preserve"> R.) silage in sheep. </w:t>
      </w:r>
      <w:r w:rsidRPr="00A51F09">
        <w:rPr>
          <w:i/>
          <w:iCs/>
          <w:lang w:val="id-ID"/>
        </w:rPr>
        <w:t>Archives Animal Breeding</w:t>
      </w:r>
      <w:r w:rsidRPr="00A51F09">
        <w:rPr>
          <w:lang w:val="id-ID"/>
        </w:rPr>
        <w:t xml:space="preserve">, </w:t>
      </w:r>
      <w:r w:rsidRPr="00A51F09">
        <w:rPr>
          <w:i/>
          <w:iCs/>
          <w:lang w:val="id-ID"/>
        </w:rPr>
        <w:t>65</w:t>
      </w:r>
      <w:r w:rsidRPr="00A51F09">
        <w:rPr>
          <w:lang w:val="id-ID"/>
        </w:rPr>
        <w:t>(1), 89–96. https://doi.org/10.5194/aab-65-89-2022</w:t>
      </w:r>
    </w:p>
    <w:p w14:paraId="2405BD95" w14:textId="0A94847C" w:rsidR="00A51F09" w:rsidRPr="00A51F09" w:rsidRDefault="00A51F09" w:rsidP="008638E6">
      <w:pPr>
        <w:ind w:left="900" w:hanging="900"/>
        <w:rPr>
          <w:lang w:val="id-ID"/>
        </w:rPr>
      </w:pPr>
      <w:r w:rsidRPr="00A51F09">
        <w:rPr>
          <w:lang w:val="id-ID"/>
        </w:rPr>
        <w:t>Randa, S. Y</w:t>
      </w:r>
      <w:r w:rsidR="00CB5660" w:rsidRPr="00CB5660">
        <w:rPr>
          <w:lang w:val="id-ID"/>
        </w:rPr>
        <w:t>.</w:t>
      </w:r>
      <w:r w:rsidRPr="00A51F09">
        <w:rPr>
          <w:lang w:val="id-ID"/>
        </w:rPr>
        <w:t xml:space="preserve"> Lekitoo, M. N</w:t>
      </w:r>
      <w:r w:rsidR="00CB5660" w:rsidRPr="00CB5660">
        <w:rPr>
          <w:lang w:val="id-ID"/>
        </w:rPr>
        <w:t>.</w:t>
      </w:r>
      <w:r w:rsidRPr="00A51F09">
        <w:rPr>
          <w:lang w:val="id-ID"/>
        </w:rPr>
        <w:t xml:space="preserve"> Iyai, D. A</w:t>
      </w:r>
      <w:r w:rsidR="00CB5660" w:rsidRPr="00CB5660">
        <w:rPr>
          <w:lang w:val="id-ID"/>
        </w:rPr>
        <w:t>.</w:t>
      </w:r>
      <w:r w:rsidRPr="00A51F09">
        <w:rPr>
          <w:lang w:val="id-ID"/>
        </w:rPr>
        <w:t xml:space="preserve"> &amp; Pattiselanno, F. (2018). Nutritive Value and the Quality of Ensiled Napier Grass (</w:t>
      </w:r>
      <w:r w:rsidRPr="00CD341D">
        <w:rPr>
          <w:i/>
          <w:iCs/>
          <w:lang w:val="id-ID"/>
        </w:rPr>
        <w:t xml:space="preserve">Pennisetum purpureum </w:t>
      </w:r>
      <w:r w:rsidRPr="00A51F09">
        <w:rPr>
          <w:lang w:val="id-ID"/>
        </w:rPr>
        <w:t>Schum.) and Banana (</w:t>
      </w:r>
      <w:r w:rsidRPr="00CD341D">
        <w:rPr>
          <w:i/>
          <w:iCs/>
          <w:lang w:val="id-ID"/>
        </w:rPr>
        <w:t>Musa acuminata)</w:t>
      </w:r>
      <w:r w:rsidRPr="00A51F09">
        <w:rPr>
          <w:lang w:val="id-ID"/>
        </w:rPr>
        <w:t xml:space="preserve"> Peelings. </w:t>
      </w:r>
      <w:r w:rsidRPr="00A51F09">
        <w:rPr>
          <w:i/>
          <w:iCs/>
          <w:lang w:val="id-ID"/>
        </w:rPr>
        <w:t>Animal Production</w:t>
      </w:r>
      <w:r w:rsidRPr="00A51F09">
        <w:rPr>
          <w:lang w:val="id-ID"/>
        </w:rPr>
        <w:t xml:space="preserve">, </w:t>
      </w:r>
      <w:r w:rsidRPr="00A51F09">
        <w:rPr>
          <w:i/>
          <w:iCs/>
          <w:lang w:val="id-ID"/>
        </w:rPr>
        <w:t>19</w:t>
      </w:r>
      <w:r w:rsidRPr="00A51F09">
        <w:rPr>
          <w:lang w:val="id-ID"/>
        </w:rPr>
        <w:t>(2), 101. https://doi.org/10.20884/1.jap.2017.19.2.594</w:t>
      </w:r>
    </w:p>
    <w:p w14:paraId="0B46C0DE" w14:textId="0B02554E" w:rsidR="00A51F09" w:rsidRPr="00A51F09" w:rsidRDefault="00A51F09" w:rsidP="008638E6">
      <w:pPr>
        <w:ind w:left="900" w:hanging="900"/>
        <w:rPr>
          <w:lang w:val="id-ID"/>
        </w:rPr>
      </w:pPr>
      <w:r w:rsidRPr="00A51F09">
        <w:rPr>
          <w:lang w:val="id-ID"/>
        </w:rPr>
        <w:t>Rehman, M</w:t>
      </w:r>
      <w:r w:rsidR="00CB5660" w:rsidRPr="00CB5660">
        <w:rPr>
          <w:lang w:val="id-ID"/>
        </w:rPr>
        <w:t>.</w:t>
      </w:r>
      <w:r w:rsidRPr="00A51F09">
        <w:rPr>
          <w:lang w:val="id-ID"/>
        </w:rPr>
        <w:t xml:space="preserve"> Gang, D</w:t>
      </w:r>
      <w:r w:rsidR="00CB5660" w:rsidRPr="00CB5660">
        <w:rPr>
          <w:lang w:val="id-ID"/>
        </w:rPr>
        <w:t>.</w:t>
      </w:r>
      <w:r w:rsidRPr="00A51F09">
        <w:rPr>
          <w:lang w:val="id-ID"/>
        </w:rPr>
        <w:t xml:space="preserve"> Liu, Q</w:t>
      </w:r>
      <w:r w:rsidR="00CB5660" w:rsidRPr="00CB5660">
        <w:rPr>
          <w:lang w:val="id-ID"/>
        </w:rPr>
        <w:t>.</w:t>
      </w:r>
      <w:r w:rsidRPr="00A51F09">
        <w:rPr>
          <w:lang w:val="id-ID"/>
        </w:rPr>
        <w:t xml:space="preserve"> Chen, Y</w:t>
      </w:r>
      <w:r w:rsidR="00CB5660" w:rsidRPr="00CB5660">
        <w:rPr>
          <w:lang w:val="id-ID"/>
        </w:rPr>
        <w:t>.</w:t>
      </w:r>
      <w:r w:rsidRPr="00A51F09">
        <w:rPr>
          <w:lang w:val="id-ID"/>
        </w:rPr>
        <w:t xml:space="preserve"> Wang, B</w:t>
      </w:r>
      <w:r w:rsidR="00CB5660" w:rsidRPr="00CB5660">
        <w:rPr>
          <w:lang w:val="id-ID"/>
        </w:rPr>
        <w:t>.</w:t>
      </w:r>
      <w:r w:rsidRPr="00A51F09">
        <w:rPr>
          <w:lang w:val="id-ID"/>
        </w:rPr>
        <w:t xml:space="preserve"> Peng, D</w:t>
      </w:r>
      <w:r w:rsidR="00CB5660" w:rsidRPr="00CB5660">
        <w:rPr>
          <w:lang w:val="id-ID"/>
        </w:rPr>
        <w:t>.</w:t>
      </w:r>
      <w:r w:rsidRPr="00A51F09">
        <w:rPr>
          <w:lang w:val="id-ID"/>
        </w:rPr>
        <w:t xml:space="preserve"> &amp; Liu, L. (2019). Ramie, a multipurpose crop: potential applications, constraints and improvement strategies. In </w:t>
      </w:r>
      <w:r w:rsidRPr="00A51F09">
        <w:rPr>
          <w:i/>
          <w:iCs/>
          <w:lang w:val="id-ID"/>
        </w:rPr>
        <w:t>Industrial Crops and Products</w:t>
      </w:r>
      <w:r w:rsidRPr="00A51F09">
        <w:rPr>
          <w:lang w:val="id-ID"/>
        </w:rPr>
        <w:t xml:space="preserve"> (Vol. 137, pp. 300–307). Elsevier B.V. https://doi.org/10.1016/j.indcrop.2019.05.029</w:t>
      </w:r>
    </w:p>
    <w:p w14:paraId="3461BFEB" w14:textId="2BB9A910" w:rsidR="00A51F09" w:rsidRPr="00A51F09" w:rsidRDefault="00A51F09" w:rsidP="008638E6">
      <w:pPr>
        <w:ind w:left="900" w:hanging="900"/>
        <w:rPr>
          <w:lang w:val="id-ID"/>
        </w:rPr>
      </w:pPr>
      <w:r w:rsidRPr="00A51F09">
        <w:rPr>
          <w:lang w:val="id-ID"/>
        </w:rPr>
        <w:t xml:space="preserve">Rifdah, R.-. (2020). </w:t>
      </w:r>
      <w:r w:rsidR="00CD341D" w:rsidRPr="00CD341D">
        <w:rPr>
          <w:lang w:val="id-ID"/>
        </w:rPr>
        <w:t>Effect of Sugar and Sodium Bisulfite Concentration on the Quality of Pineapple Raisins.</w:t>
      </w:r>
      <w:r w:rsidRPr="00A51F09">
        <w:rPr>
          <w:lang w:val="id-ID"/>
        </w:rPr>
        <w:t xml:space="preserve"> </w:t>
      </w:r>
      <w:r w:rsidRPr="00A51F09">
        <w:rPr>
          <w:i/>
          <w:iCs/>
          <w:lang w:val="id-ID"/>
        </w:rPr>
        <w:t>Jurnal Distilasi</w:t>
      </w:r>
      <w:r w:rsidRPr="00A51F09">
        <w:rPr>
          <w:lang w:val="id-ID"/>
        </w:rPr>
        <w:t xml:space="preserve">, </w:t>
      </w:r>
      <w:r w:rsidRPr="00A51F09">
        <w:rPr>
          <w:i/>
          <w:iCs/>
          <w:lang w:val="id-ID"/>
        </w:rPr>
        <w:t>4</w:t>
      </w:r>
      <w:r w:rsidRPr="00A51F09">
        <w:rPr>
          <w:lang w:val="id-ID"/>
        </w:rPr>
        <w:t>(1), 31. https://doi.org/10.32502/jd.v4i1.2212</w:t>
      </w:r>
    </w:p>
    <w:p w14:paraId="250C67D9" w14:textId="3D7888A7" w:rsidR="00A51F09" w:rsidRPr="00A51F09" w:rsidRDefault="00A51F09" w:rsidP="008638E6">
      <w:pPr>
        <w:ind w:left="900" w:hanging="900"/>
        <w:rPr>
          <w:lang w:val="id-ID"/>
        </w:rPr>
      </w:pPr>
      <w:r w:rsidRPr="00A51F09">
        <w:rPr>
          <w:lang w:val="id-ID"/>
        </w:rPr>
        <w:t>Rodríguez-Blanco, M</w:t>
      </w:r>
      <w:r w:rsidR="00CB5660" w:rsidRPr="00CB5660">
        <w:rPr>
          <w:lang w:val="id-ID"/>
        </w:rPr>
        <w:t>.</w:t>
      </w:r>
      <w:r w:rsidRPr="00A51F09">
        <w:rPr>
          <w:lang w:val="id-ID"/>
        </w:rPr>
        <w:t xml:space="preserve"> Ramos, A. J</w:t>
      </w:r>
      <w:r w:rsidR="00CB5660" w:rsidRPr="00CB5660">
        <w:rPr>
          <w:lang w:val="id-ID"/>
        </w:rPr>
        <w:t>.</w:t>
      </w:r>
      <w:r w:rsidRPr="00A51F09">
        <w:rPr>
          <w:lang w:val="id-ID"/>
        </w:rPr>
        <w:t xml:space="preserve"> Sanchis, V</w:t>
      </w:r>
      <w:r w:rsidR="00CB5660" w:rsidRPr="00CB5660">
        <w:rPr>
          <w:lang w:val="id-ID"/>
        </w:rPr>
        <w:t>.</w:t>
      </w:r>
      <w:r w:rsidRPr="00A51F09">
        <w:rPr>
          <w:lang w:val="id-ID"/>
        </w:rPr>
        <w:t xml:space="preserve"> &amp; Marín, S. (2021). Mycotoxins occurrence and fungal populations in different types of silages for dairy cows in Spain. </w:t>
      </w:r>
      <w:r w:rsidRPr="00A51F09">
        <w:rPr>
          <w:i/>
          <w:iCs/>
          <w:lang w:val="id-ID"/>
        </w:rPr>
        <w:t>Fungal Biology</w:t>
      </w:r>
      <w:r w:rsidRPr="00A51F09">
        <w:rPr>
          <w:lang w:val="id-ID"/>
        </w:rPr>
        <w:t xml:space="preserve">, </w:t>
      </w:r>
      <w:r w:rsidRPr="00A51F09">
        <w:rPr>
          <w:i/>
          <w:iCs/>
          <w:lang w:val="id-ID"/>
        </w:rPr>
        <w:t>125</w:t>
      </w:r>
      <w:r w:rsidRPr="00A51F09">
        <w:rPr>
          <w:lang w:val="id-ID"/>
        </w:rPr>
        <w:t>(2), 103–114. https://doi.org/10.1016/j.funbio.2019.08.006</w:t>
      </w:r>
    </w:p>
    <w:p w14:paraId="67F8C2A0" w14:textId="039A9C22" w:rsidR="00A51F09" w:rsidRPr="00A51F09" w:rsidRDefault="00A51F09" w:rsidP="008638E6">
      <w:pPr>
        <w:ind w:left="900" w:hanging="900"/>
        <w:rPr>
          <w:lang w:val="id-ID"/>
        </w:rPr>
      </w:pPr>
      <w:r w:rsidRPr="00A51F09">
        <w:rPr>
          <w:lang w:val="id-ID"/>
        </w:rPr>
        <w:t>Rusdi, M</w:t>
      </w:r>
      <w:r w:rsidR="00CB5660" w:rsidRPr="00CB5660">
        <w:rPr>
          <w:lang w:val="id-ID"/>
        </w:rPr>
        <w:t>.</w:t>
      </w:r>
      <w:r w:rsidRPr="00A51F09">
        <w:rPr>
          <w:lang w:val="id-ID"/>
        </w:rPr>
        <w:t xml:space="preserve"> Efendi Harahap, A</w:t>
      </w:r>
      <w:r w:rsidR="00CB5660" w:rsidRPr="00CB5660">
        <w:rPr>
          <w:lang w:val="id-ID"/>
        </w:rPr>
        <w:t>.</w:t>
      </w:r>
      <w:r w:rsidRPr="00A51F09">
        <w:rPr>
          <w:lang w:val="id-ID"/>
        </w:rPr>
        <w:t xml:space="preserve"> Elfawati Program Studi Peternakan Fakultas Pertanian dan Peternakan,  dan, Sultan Syarif Kasim Riau Jl Soebrantas No, U. H</w:t>
      </w:r>
      <w:r w:rsidR="00CB5660" w:rsidRPr="00CB5660">
        <w:rPr>
          <w:lang w:val="id-ID"/>
        </w:rPr>
        <w:t>.</w:t>
      </w:r>
      <w:r w:rsidRPr="00A51F09">
        <w:rPr>
          <w:lang w:val="id-ID"/>
        </w:rPr>
        <w:t xml:space="preserve"> &amp; Tampan Pekanbaru, T. (2021). pH, </w:t>
      </w:r>
      <w:r w:rsidR="00CD341D" w:rsidRPr="00CD341D">
        <w:rPr>
          <w:lang w:val="id-ID"/>
        </w:rPr>
        <w:t>DRY MATTER AND PHYSICAL PROPERTIES OF CABBAGE WASTE Silage WITH ADDITION OF RICE BRANT LEVELS pH, Dry Matter and Physical Properties of Cabbage Waste Silage with Additions of Bran Levels.</w:t>
      </w:r>
      <w:r w:rsidRPr="00A51F09">
        <w:rPr>
          <w:lang w:val="id-ID"/>
        </w:rPr>
        <w:t xml:space="preserve"> </w:t>
      </w:r>
      <w:r w:rsidRPr="00A51F09">
        <w:rPr>
          <w:i/>
          <w:iCs/>
          <w:lang w:val="id-ID"/>
        </w:rPr>
        <w:t>Jambura Journal of Animal Science</w:t>
      </w:r>
      <w:r w:rsidRPr="00A51F09">
        <w:rPr>
          <w:lang w:val="id-ID"/>
        </w:rPr>
        <w:t xml:space="preserve">, </w:t>
      </w:r>
      <w:r w:rsidRPr="00A51F09">
        <w:rPr>
          <w:i/>
          <w:iCs/>
          <w:lang w:val="id-ID"/>
        </w:rPr>
        <w:t>4</w:t>
      </w:r>
      <w:r w:rsidRPr="00A51F09">
        <w:rPr>
          <w:lang w:val="id-ID"/>
        </w:rPr>
        <w:t>(1), 14–23. https://ejurnal.ung.ac.id/index.php/jjas/issue/archive</w:t>
      </w:r>
    </w:p>
    <w:p w14:paraId="4D4F6950" w14:textId="17741A90" w:rsidR="00A51F09" w:rsidRPr="00A51F09" w:rsidRDefault="00A51F09" w:rsidP="008638E6">
      <w:pPr>
        <w:ind w:left="900" w:hanging="900"/>
        <w:rPr>
          <w:lang w:val="id-ID"/>
        </w:rPr>
      </w:pPr>
      <w:r w:rsidRPr="00A51F09">
        <w:rPr>
          <w:lang w:val="id-ID"/>
        </w:rPr>
        <w:t>Siqueira, T. D. Q</w:t>
      </w:r>
      <w:r w:rsidR="00CB5660" w:rsidRPr="00CB5660">
        <w:rPr>
          <w:lang w:val="id-ID"/>
        </w:rPr>
        <w:t>.</w:t>
      </w:r>
      <w:r w:rsidRPr="00A51F09">
        <w:rPr>
          <w:lang w:val="id-ID"/>
        </w:rPr>
        <w:t xml:space="preserve"> dos Santos Monnerat, J. P. I</w:t>
      </w:r>
      <w:r w:rsidR="00CB5660" w:rsidRPr="00CB5660">
        <w:rPr>
          <w:lang w:val="id-ID"/>
        </w:rPr>
        <w:t>.</w:t>
      </w:r>
      <w:r w:rsidRPr="00A51F09">
        <w:rPr>
          <w:lang w:val="id-ID"/>
        </w:rPr>
        <w:t xml:space="preserve"> Chagas, J. C. C</w:t>
      </w:r>
      <w:r w:rsidR="00CB5660" w:rsidRPr="00CB5660">
        <w:rPr>
          <w:lang w:val="id-ID"/>
        </w:rPr>
        <w:t>.</w:t>
      </w:r>
      <w:r w:rsidRPr="00A51F09">
        <w:rPr>
          <w:lang w:val="id-ID"/>
        </w:rPr>
        <w:t xml:space="preserve"> da Conceição, M. G</w:t>
      </w:r>
      <w:r w:rsidR="00CB5660" w:rsidRPr="00CB5660">
        <w:rPr>
          <w:lang w:val="id-ID"/>
        </w:rPr>
        <w:t>.</w:t>
      </w:r>
      <w:r w:rsidRPr="00A51F09">
        <w:rPr>
          <w:lang w:val="id-ID"/>
        </w:rPr>
        <w:t xml:space="preserve"> de Siqueira, M. C. B</w:t>
      </w:r>
      <w:r w:rsidR="00CB5660" w:rsidRPr="00CB5660">
        <w:rPr>
          <w:lang w:val="id-ID"/>
        </w:rPr>
        <w:t>.</w:t>
      </w:r>
      <w:r w:rsidRPr="00A51F09">
        <w:rPr>
          <w:lang w:val="id-ID"/>
        </w:rPr>
        <w:t xml:space="preserve"> de Farias, L. R</w:t>
      </w:r>
      <w:r w:rsidR="00CB5660" w:rsidRPr="00CB5660">
        <w:rPr>
          <w:lang w:val="id-ID"/>
        </w:rPr>
        <w:t>.</w:t>
      </w:r>
      <w:r w:rsidRPr="00A51F09">
        <w:rPr>
          <w:lang w:val="id-ID"/>
        </w:rPr>
        <w:t xml:space="preserve"> de Oliveira, J. P. F</w:t>
      </w:r>
      <w:r w:rsidR="00CB5660" w:rsidRPr="00CB5660">
        <w:rPr>
          <w:lang w:val="id-ID"/>
        </w:rPr>
        <w:t>.</w:t>
      </w:r>
      <w:r w:rsidRPr="00A51F09">
        <w:rPr>
          <w:lang w:val="id-ID"/>
        </w:rPr>
        <w:t xml:space="preserve"> &amp; de Andrade Ferreira, M. (2022). Palatability and nycterohemeral patterns of ingestive behavior of sheep fed different roughage sources. </w:t>
      </w:r>
      <w:r w:rsidRPr="00A51F09">
        <w:rPr>
          <w:i/>
          <w:iCs/>
          <w:lang w:val="id-ID"/>
        </w:rPr>
        <w:t>Tropical Animal Health and Production</w:t>
      </w:r>
      <w:r w:rsidRPr="00A51F09">
        <w:rPr>
          <w:lang w:val="id-ID"/>
        </w:rPr>
        <w:t xml:space="preserve">, </w:t>
      </w:r>
      <w:r w:rsidRPr="00A51F09">
        <w:rPr>
          <w:i/>
          <w:iCs/>
          <w:lang w:val="id-ID"/>
        </w:rPr>
        <w:t>54</w:t>
      </w:r>
      <w:r w:rsidRPr="00A51F09">
        <w:rPr>
          <w:lang w:val="id-ID"/>
        </w:rPr>
        <w:t>(2), 1–7. https://doi.org/10.1007/s11250-022-03145-3</w:t>
      </w:r>
    </w:p>
    <w:p w14:paraId="7A87FF32" w14:textId="43020F1A" w:rsidR="00A51F09" w:rsidRPr="00A51F09" w:rsidRDefault="00A51F09" w:rsidP="008638E6">
      <w:pPr>
        <w:ind w:left="900" w:hanging="900"/>
        <w:rPr>
          <w:lang w:val="id-ID"/>
        </w:rPr>
      </w:pPr>
      <w:r w:rsidRPr="00A51F09">
        <w:rPr>
          <w:lang w:val="id-ID"/>
        </w:rPr>
        <w:t>Suryanah, S</w:t>
      </w:r>
      <w:r w:rsidR="00CB5660" w:rsidRPr="00CB5660">
        <w:rPr>
          <w:lang w:val="id-ID"/>
        </w:rPr>
        <w:t>.</w:t>
      </w:r>
      <w:r w:rsidRPr="00A51F09">
        <w:rPr>
          <w:lang w:val="id-ID"/>
        </w:rPr>
        <w:t xml:space="preserve"> Rochana, A</w:t>
      </w:r>
      <w:r w:rsidR="00CB5660" w:rsidRPr="00CB5660">
        <w:rPr>
          <w:lang w:val="id-ID"/>
        </w:rPr>
        <w:t>.</w:t>
      </w:r>
      <w:r w:rsidRPr="00A51F09">
        <w:rPr>
          <w:lang w:val="id-ID"/>
        </w:rPr>
        <w:t xml:space="preserve"> Susilawati, I</w:t>
      </w:r>
      <w:r w:rsidR="00CB5660" w:rsidRPr="00CB5660">
        <w:rPr>
          <w:lang w:val="id-ID"/>
        </w:rPr>
        <w:t>.</w:t>
      </w:r>
      <w:r w:rsidRPr="00A51F09">
        <w:rPr>
          <w:lang w:val="id-ID"/>
        </w:rPr>
        <w:t xml:space="preserve"> &amp; Indiriani, N. P. (2018). Ramie (Boehmeria nivea) Plant Nutrient Quality as Feed Forage at Various Cutting Ages. </w:t>
      </w:r>
      <w:r w:rsidRPr="00A51F09">
        <w:rPr>
          <w:i/>
          <w:iCs/>
          <w:lang w:val="id-ID"/>
        </w:rPr>
        <w:t>Animal Production</w:t>
      </w:r>
      <w:r w:rsidRPr="00A51F09">
        <w:rPr>
          <w:lang w:val="id-ID"/>
        </w:rPr>
        <w:t xml:space="preserve">, </w:t>
      </w:r>
      <w:r w:rsidRPr="00A51F09">
        <w:rPr>
          <w:i/>
          <w:iCs/>
          <w:lang w:val="id-ID"/>
        </w:rPr>
        <w:t>19</w:t>
      </w:r>
      <w:r w:rsidRPr="00A51F09">
        <w:rPr>
          <w:lang w:val="id-ID"/>
        </w:rPr>
        <w:t>(2), 111–118.</w:t>
      </w:r>
    </w:p>
    <w:p w14:paraId="4E5618E6" w14:textId="6E0DC390" w:rsidR="00A51F09" w:rsidRPr="00A51F09" w:rsidRDefault="00A51F09" w:rsidP="008638E6">
      <w:pPr>
        <w:ind w:left="900" w:hanging="900"/>
        <w:rPr>
          <w:lang w:val="id-ID"/>
        </w:rPr>
      </w:pPr>
      <w:r w:rsidRPr="00A51F09">
        <w:rPr>
          <w:lang w:val="id-ID"/>
        </w:rPr>
        <w:lastRenderedPageBreak/>
        <w:t xml:space="preserve">Suryaningsih, Y. (2019). </w:t>
      </w:r>
      <w:r w:rsidR="00CD341D" w:rsidRPr="00CD341D">
        <w:rPr>
          <w:lang w:val="id-ID"/>
        </w:rPr>
        <w:t>Quality and Palatability of Mangrove Leaf Silage in Fat Tail Sheep.</w:t>
      </w:r>
      <w:r w:rsidRPr="00A51F09">
        <w:rPr>
          <w:i/>
          <w:iCs/>
          <w:lang w:val="id-ID"/>
        </w:rPr>
        <w:t>Cermin: Jurnal Penelitian</w:t>
      </w:r>
      <w:r w:rsidRPr="00A51F09">
        <w:rPr>
          <w:lang w:val="id-ID"/>
        </w:rPr>
        <w:t xml:space="preserve">, </w:t>
      </w:r>
      <w:r w:rsidRPr="00A51F09">
        <w:rPr>
          <w:i/>
          <w:iCs/>
          <w:lang w:val="id-ID"/>
        </w:rPr>
        <w:t>3</w:t>
      </w:r>
      <w:r w:rsidRPr="00A51F09">
        <w:rPr>
          <w:lang w:val="id-ID"/>
        </w:rPr>
        <w:t>(2), 125–141.</w:t>
      </w:r>
    </w:p>
    <w:p w14:paraId="58061395" w14:textId="3B43CB36" w:rsidR="00A51F09" w:rsidRPr="00A51F09" w:rsidRDefault="00A51F09" w:rsidP="008638E6">
      <w:pPr>
        <w:ind w:left="900" w:hanging="900"/>
        <w:rPr>
          <w:lang w:val="id-ID"/>
        </w:rPr>
      </w:pPr>
      <w:r w:rsidRPr="00A51F09">
        <w:rPr>
          <w:lang w:val="id-ID"/>
        </w:rPr>
        <w:t>Tahuk, P. K</w:t>
      </w:r>
      <w:r w:rsidR="00CB5660" w:rsidRPr="00CB5660">
        <w:rPr>
          <w:lang w:val="id-ID"/>
        </w:rPr>
        <w:t>.</w:t>
      </w:r>
      <w:r w:rsidRPr="00A51F09">
        <w:rPr>
          <w:lang w:val="id-ID"/>
        </w:rPr>
        <w:t xml:space="preserve"> Bira, G. F</w:t>
      </w:r>
      <w:r w:rsidR="00CB5660" w:rsidRPr="00CB5660">
        <w:rPr>
          <w:lang w:val="id-ID"/>
        </w:rPr>
        <w:t>.</w:t>
      </w:r>
      <w:r w:rsidRPr="00A51F09">
        <w:rPr>
          <w:lang w:val="id-ID"/>
        </w:rPr>
        <w:t xml:space="preserve"> &amp; Taga, H. (2020). Physical Characteristics Analysis of Complete Silage Made of Sorghum Forage, King Grass and Natural Grass. </w:t>
      </w:r>
      <w:r w:rsidRPr="00A51F09">
        <w:rPr>
          <w:i/>
          <w:iCs/>
          <w:lang w:val="id-ID"/>
        </w:rPr>
        <w:t>IOP Conference Series: Earth and Environmental Science</w:t>
      </w:r>
      <w:r w:rsidRPr="00A51F09">
        <w:rPr>
          <w:lang w:val="id-ID"/>
        </w:rPr>
        <w:t xml:space="preserve">, </w:t>
      </w:r>
      <w:r w:rsidRPr="00A51F09">
        <w:rPr>
          <w:i/>
          <w:iCs/>
          <w:lang w:val="id-ID"/>
        </w:rPr>
        <w:t>465</w:t>
      </w:r>
      <w:r w:rsidRPr="00A51F09">
        <w:rPr>
          <w:lang w:val="id-ID"/>
        </w:rPr>
        <w:t>(1). https://doi.org/10.1088/1755-1315/465/1/012022</w:t>
      </w:r>
    </w:p>
    <w:p w14:paraId="7C2A27C6" w14:textId="2A8B83DB" w:rsidR="00A51F09" w:rsidRPr="00A51F09" w:rsidRDefault="00A51F09" w:rsidP="008638E6">
      <w:pPr>
        <w:ind w:left="900" w:hanging="900"/>
        <w:rPr>
          <w:lang w:val="id-ID"/>
        </w:rPr>
      </w:pPr>
      <w:r w:rsidRPr="00A51F09">
        <w:rPr>
          <w:lang w:val="id-ID"/>
        </w:rPr>
        <w:t>Tang, S</w:t>
      </w:r>
      <w:r w:rsidR="00CB5660" w:rsidRPr="00CB5660">
        <w:rPr>
          <w:lang w:val="id-ID"/>
        </w:rPr>
        <w:t>.</w:t>
      </w:r>
      <w:r w:rsidRPr="00A51F09">
        <w:rPr>
          <w:lang w:val="id-ID"/>
        </w:rPr>
        <w:t xml:space="preserve"> He, Y</w:t>
      </w:r>
      <w:r w:rsidR="00CB5660" w:rsidRPr="00CB5660">
        <w:rPr>
          <w:lang w:val="id-ID"/>
        </w:rPr>
        <w:t>.</w:t>
      </w:r>
      <w:r w:rsidRPr="00A51F09">
        <w:rPr>
          <w:lang w:val="id-ID"/>
        </w:rPr>
        <w:t xml:space="preserve"> Zhang, P</w:t>
      </w:r>
      <w:r w:rsidR="00CB5660" w:rsidRPr="00CB5660">
        <w:rPr>
          <w:lang w:val="id-ID"/>
        </w:rPr>
        <w:t>.</w:t>
      </w:r>
      <w:r w:rsidRPr="00A51F09">
        <w:rPr>
          <w:lang w:val="id-ID"/>
        </w:rPr>
        <w:t xml:space="preserve"> Kang, J</w:t>
      </w:r>
      <w:r w:rsidR="00CB5660" w:rsidRPr="00CB5660">
        <w:rPr>
          <w:lang w:val="id-ID"/>
        </w:rPr>
        <w:t>.</w:t>
      </w:r>
      <w:r w:rsidRPr="00A51F09">
        <w:rPr>
          <w:lang w:val="id-ID"/>
        </w:rPr>
        <w:t xml:space="preserve"> Yan, Q</w:t>
      </w:r>
      <w:r w:rsidR="00CB5660" w:rsidRPr="00CB5660">
        <w:rPr>
          <w:lang w:val="id-ID"/>
        </w:rPr>
        <w:t>.</w:t>
      </w:r>
      <w:r w:rsidRPr="00A51F09">
        <w:rPr>
          <w:lang w:val="id-ID"/>
        </w:rPr>
        <w:t xml:space="preserve"> Han, X</w:t>
      </w:r>
      <w:r w:rsidR="00CB5660" w:rsidRPr="00CB5660">
        <w:rPr>
          <w:lang w:val="id-ID"/>
        </w:rPr>
        <w:t>.</w:t>
      </w:r>
      <w:r w:rsidRPr="00A51F09">
        <w:rPr>
          <w:lang w:val="id-ID"/>
        </w:rPr>
        <w:t xml:space="preserve"> Tan, Z</w:t>
      </w:r>
      <w:r w:rsidR="00CB5660" w:rsidRPr="00CB5660">
        <w:rPr>
          <w:lang w:val="id-ID"/>
        </w:rPr>
        <w:t>.</w:t>
      </w:r>
      <w:r w:rsidRPr="00A51F09">
        <w:rPr>
          <w:lang w:val="id-ID"/>
        </w:rPr>
        <w:t xml:space="preserve"> Wang, H</w:t>
      </w:r>
      <w:r w:rsidR="00CB5660" w:rsidRPr="00CB5660">
        <w:rPr>
          <w:lang w:val="id-ID"/>
        </w:rPr>
        <w:t>.</w:t>
      </w:r>
      <w:r w:rsidRPr="00A51F09">
        <w:rPr>
          <w:lang w:val="id-ID"/>
        </w:rPr>
        <w:t xml:space="preserve"> Wu, D</w:t>
      </w:r>
      <w:r w:rsidR="00CB5660" w:rsidRPr="00CB5660">
        <w:rPr>
          <w:lang w:val="id-ID"/>
        </w:rPr>
        <w:t>.</w:t>
      </w:r>
      <w:r w:rsidRPr="00A51F09">
        <w:rPr>
          <w:lang w:val="id-ID"/>
        </w:rPr>
        <w:t xml:space="preserve"> Yu, L</w:t>
      </w:r>
      <w:r w:rsidR="00CB5660" w:rsidRPr="00CB5660">
        <w:rPr>
          <w:lang w:val="id-ID"/>
        </w:rPr>
        <w:t>.</w:t>
      </w:r>
      <w:r w:rsidRPr="00A51F09">
        <w:rPr>
          <w:lang w:val="id-ID"/>
        </w:rPr>
        <w:t xml:space="preserve"> Wang, M</w:t>
      </w:r>
      <w:r w:rsidR="00CB5660" w:rsidRPr="00CB5660">
        <w:rPr>
          <w:lang w:val="id-ID"/>
        </w:rPr>
        <w:t>.</w:t>
      </w:r>
      <w:r w:rsidRPr="00A51F09">
        <w:rPr>
          <w:lang w:val="id-ID"/>
        </w:rPr>
        <w:t xml:space="preserve"> Zhou, C</w:t>
      </w:r>
      <w:r w:rsidR="00CB5660" w:rsidRPr="00CB5660">
        <w:rPr>
          <w:lang w:val="id-ID"/>
        </w:rPr>
        <w:t>.</w:t>
      </w:r>
      <w:r w:rsidRPr="00A51F09">
        <w:rPr>
          <w:lang w:val="id-ID"/>
        </w:rPr>
        <w:t xml:space="preserve"> &amp; Jiao, J. (2021). Substitution of ramie (</w:t>
      </w:r>
      <w:r w:rsidRPr="00CD341D">
        <w:rPr>
          <w:i/>
          <w:iCs/>
          <w:lang w:val="id-ID"/>
        </w:rPr>
        <w:t>Boehmeria nivea</w:t>
      </w:r>
      <w:r w:rsidRPr="00A51F09">
        <w:rPr>
          <w:lang w:val="id-ID"/>
        </w:rPr>
        <w:t xml:space="preserve">) for alfalfa in improving the carcass and meat quality of Liuyang Black goats. </w:t>
      </w:r>
      <w:r w:rsidRPr="00A51F09">
        <w:rPr>
          <w:i/>
          <w:iCs/>
          <w:lang w:val="id-ID"/>
        </w:rPr>
        <w:t>Animal Nutrition</w:t>
      </w:r>
      <w:r w:rsidRPr="00A51F09">
        <w:rPr>
          <w:lang w:val="id-ID"/>
        </w:rPr>
        <w:t xml:space="preserve">, </w:t>
      </w:r>
      <w:r w:rsidRPr="00A51F09">
        <w:rPr>
          <w:i/>
          <w:iCs/>
          <w:lang w:val="id-ID"/>
        </w:rPr>
        <w:t>7</w:t>
      </w:r>
      <w:r w:rsidRPr="00A51F09">
        <w:rPr>
          <w:lang w:val="id-ID"/>
        </w:rPr>
        <w:t>(3), 688–694. https://doi.org/10.1016/j.aninu.2020.11.020</w:t>
      </w:r>
    </w:p>
    <w:p w14:paraId="7844BF4D" w14:textId="538F6E3D" w:rsidR="00A51F09" w:rsidRPr="00A51F09" w:rsidRDefault="00A51F09" w:rsidP="008638E6">
      <w:pPr>
        <w:ind w:left="900" w:hanging="900"/>
        <w:rPr>
          <w:lang w:val="id-ID"/>
        </w:rPr>
      </w:pPr>
      <w:r w:rsidRPr="00A51F09">
        <w:rPr>
          <w:lang w:val="id-ID"/>
        </w:rPr>
        <w:t>Tian, X</w:t>
      </w:r>
      <w:r w:rsidR="00CB5660" w:rsidRPr="00CB5660">
        <w:rPr>
          <w:lang w:val="id-ID"/>
        </w:rPr>
        <w:t>.</w:t>
      </w:r>
      <w:r w:rsidRPr="00A51F09">
        <w:rPr>
          <w:lang w:val="id-ID"/>
        </w:rPr>
        <w:t xml:space="preserve"> Gao, C</w:t>
      </w:r>
      <w:r w:rsidR="00CB5660" w:rsidRPr="00CB5660">
        <w:rPr>
          <w:lang w:val="id-ID"/>
        </w:rPr>
        <w:t>.</w:t>
      </w:r>
      <w:r w:rsidRPr="00A51F09">
        <w:rPr>
          <w:lang w:val="id-ID"/>
        </w:rPr>
        <w:t xml:space="preserve"> Hou, Z</w:t>
      </w:r>
      <w:r w:rsidR="00CB5660" w:rsidRPr="00CB5660">
        <w:rPr>
          <w:lang w:val="id-ID"/>
        </w:rPr>
        <w:t>.</w:t>
      </w:r>
      <w:r w:rsidRPr="00A51F09">
        <w:rPr>
          <w:lang w:val="id-ID"/>
        </w:rPr>
        <w:t xml:space="preserve"> Wang, R</w:t>
      </w:r>
      <w:r w:rsidR="00CB5660" w:rsidRPr="00CB5660">
        <w:rPr>
          <w:lang w:val="id-ID"/>
        </w:rPr>
        <w:t>.</w:t>
      </w:r>
      <w:r w:rsidRPr="00A51F09">
        <w:rPr>
          <w:lang w:val="id-ID"/>
        </w:rPr>
        <w:t xml:space="preserve"> Zhang, X</w:t>
      </w:r>
      <w:r w:rsidR="00CB5660" w:rsidRPr="00CB5660">
        <w:rPr>
          <w:lang w:val="id-ID"/>
        </w:rPr>
        <w:t>.</w:t>
      </w:r>
      <w:r w:rsidRPr="00A51F09">
        <w:rPr>
          <w:lang w:val="id-ID"/>
        </w:rPr>
        <w:t xml:space="preserve"> Li, Q</w:t>
      </w:r>
      <w:r w:rsidR="00CB5660" w:rsidRPr="00CB5660">
        <w:rPr>
          <w:lang w:val="id-ID"/>
        </w:rPr>
        <w:t>.</w:t>
      </w:r>
      <w:r w:rsidRPr="00A51F09">
        <w:rPr>
          <w:lang w:val="id-ID"/>
        </w:rPr>
        <w:t xml:space="preserve"> Wei, Z</w:t>
      </w:r>
      <w:r w:rsidR="00CB5660" w:rsidRPr="00CB5660">
        <w:rPr>
          <w:lang w:val="id-ID"/>
        </w:rPr>
        <w:t>.</w:t>
      </w:r>
      <w:r w:rsidRPr="00A51F09">
        <w:rPr>
          <w:lang w:val="id-ID"/>
        </w:rPr>
        <w:t xml:space="preserve"> Wu, D</w:t>
      </w:r>
      <w:r w:rsidR="00CB5660" w:rsidRPr="00CB5660">
        <w:rPr>
          <w:lang w:val="id-ID"/>
        </w:rPr>
        <w:t>.</w:t>
      </w:r>
      <w:r w:rsidRPr="00A51F09">
        <w:rPr>
          <w:lang w:val="id-ID"/>
        </w:rPr>
        <w:t xml:space="preserve"> &amp; Wang, M. (2022). Comparisons of Ramie and Corn Stover Silages: Effects on Chewing Activity, Rumen Fermentation, Microbiota and Methane Emissions in Goats. </w:t>
      </w:r>
      <w:r w:rsidRPr="00A51F09">
        <w:rPr>
          <w:i/>
          <w:iCs/>
          <w:lang w:val="id-ID"/>
        </w:rPr>
        <w:t>Fermentation</w:t>
      </w:r>
      <w:r w:rsidRPr="00A51F09">
        <w:rPr>
          <w:lang w:val="id-ID"/>
        </w:rPr>
        <w:t xml:space="preserve">, </w:t>
      </w:r>
      <w:r w:rsidRPr="00A51F09">
        <w:rPr>
          <w:i/>
          <w:iCs/>
          <w:lang w:val="id-ID"/>
        </w:rPr>
        <w:t>8</w:t>
      </w:r>
      <w:r w:rsidRPr="00A51F09">
        <w:rPr>
          <w:lang w:val="id-ID"/>
        </w:rPr>
        <w:t>(9), 1–16. https://doi.org/10.3390/fermentation8090432</w:t>
      </w:r>
    </w:p>
    <w:p w14:paraId="006BEE3A" w14:textId="4926C370" w:rsidR="00A51F09" w:rsidRPr="00A51F09" w:rsidRDefault="00A51F09" w:rsidP="008638E6">
      <w:pPr>
        <w:ind w:left="900" w:hanging="900"/>
        <w:rPr>
          <w:lang w:val="id-ID"/>
        </w:rPr>
      </w:pPr>
      <w:r w:rsidRPr="00A51F09">
        <w:rPr>
          <w:lang w:val="id-ID"/>
        </w:rPr>
        <w:t>Trisnadewi, A. A. A. S</w:t>
      </w:r>
      <w:r w:rsidR="00CB5660" w:rsidRPr="00CB5660">
        <w:rPr>
          <w:lang w:val="id-ID"/>
        </w:rPr>
        <w:t>.</w:t>
      </w:r>
      <w:r w:rsidRPr="00A51F09">
        <w:rPr>
          <w:lang w:val="id-ID"/>
        </w:rPr>
        <w:t xml:space="preserve"> &amp; Cakra, I. G. L. O. (2020). Physical Characteristics, Nutritional Qualities and In vitro Digestibility of Silage From Various Sources of Fiber. </w:t>
      </w:r>
      <w:r w:rsidRPr="00A51F09">
        <w:rPr>
          <w:i/>
          <w:iCs/>
          <w:lang w:val="id-ID"/>
        </w:rPr>
        <w:t>Pakistan Journal of Nutrition</w:t>
      </w:r>
      <w:r w:rsidRPr="00A51F09">
        <w:rPr>
          <w:lang w:val="id-ID"/>
        </w:rPr>
        <w:t xml:space="preserve">, </w:t>
      </w:r>
      <w:r w:rsidRPr="00A51F09">
        <w:rPr>
          <w:i/>
          <w:iCs/>
          <w:lang w:val="id-ID"/>
        </w:rPr>
        <w:t>19</w:t>
      </w:r>
      <w:r w:rsidRPr="00A51F09">
        <w:rPr>
          <w:lang w:val="id-ID"/>
        </w:rPr>
        <w:t>(4), 166–171. https://doi.org/10.3923/pjn.2020.166.171</w:t>
      </w:r>
    </w:p>
    <w:p w14:paraId="479EE749" w14:textId="3272C306" w:rsidR="00A51F09" w:rsidRPr="00A51F09" w:rsidRDefault="00A51F09" w:rsidP="008638E6">
      <w:pPr>
        <w:ind w:left="900" w:hanging="900"/>
        <w:rPr>
          <w:lang w:val="id-ID"/>
        </w:rPr>
      </w:pPr>
      <w:r w:rsidRPr="00A51F09">
        <w:rPr>
          <w:lang w:val="id-ID"/>
        </w:rPr>
        <w:t>Utomo, R</w:t>
      </w:r>
      <w:r w:rsidR="00CB5660" w:rsidRPr="00CB5660">
        <w:rPr>
          <w:lang w:val="id-ID"/>
        </w:rPr>
        <w:t>.</w:t>
      </w:r>
      <w:r w:rsidRPr="00A51F09">
        <w:rPr>
          <w:lang w:val="id-ID"/>
        </w:rPr>
        <w:t xml:space="preserve"> Noviandi, C. T</w:t>
      </w:r>
      <w:r w:rsidR="00CB5660" w:rsidRPr="00CB5660">
        <w:rPr>
          <w:lang w:val="id-ID"/>
        </w:rPr>
        <w:t>.</w:t>
      </w:r>
      <w:r w:rsidRPr="00A51F09">
        <w:rPr>
          <w:lang w:val="id-ID"/>
        </w:rPr>
        <w:t xml:space="preserve"> Astuti, A</w:t>
      </w:r>
      <w:r w:rsidR="00CB5660" w:rsidRPr="00CB5660">
        <w:rPr>
          <w:lang w:val="id-ID"/>
        </w:rPr>
        <w:t>.</w:t>
      </w:r>
      <w:r w:rsidRPr="00A51F09">
        <w:rPr>
          <w:lang w:val="id-ID"/>
        </w:rPr>
        <w:t xml:space="preserve"> &amp; Umami, N. (2016). </w:t>
      </w:r>
      <w:r w:rsidR="00CD341D" w:rsidRPr="00CD341D">
        <w:rPr>
          <w:lang w:val="id-ID"/>
        </w:rPr>
        <w:t>Effect of the use of additives on the quality of Sorghum vulgare forage silage.</w:t>
      </w:r>
      <w:r w:rsidRPr="00A51F09">
        <w:rPr>
          <w:i/>
          <w:iCs/>
          <w:lang w:val="id-ID"/>
        </w:rPr>
        <w:t>Simposium Nasional Penelitian Dan Pengembangan Peternakan Tropik</w:t>
      </w:r>
      <w:r w:rsidRPr="00A51F09">
        <w:rPr>
          <w:lang w:val="id-ID"/>
        </w:rPr>
        <w:t>, 63–69. https://www.researchgate.net/publication/321097497</w:t>
      </w:r>
    </w:p>
    <w:p w14:paraId="361BA88C" w14:textId="7A454162" w:rsidR="00A51F09" w:rsidRPr="00A51F09" w:rsidRDefault="00A51F09" w:rsidP="008638E6">
      <w:pPr>
        <w:ind w:left="900" w:hanging="900"/>
        <w:rPr>
          <w:lang w:val="id-ID"/>
        </w:rPr>
      </w:pPr>
      <w:r w:rsidRPr="00A51F09">
        <w:rPr>
          <w:lang w:val="id-ID"/>
        </w:rPr>
        <w:t>Xu, S</w:t>
      </w:r>
      <w:r w:rsidR="00CB5660" w:rsidRPr="00CB5660">
        <w:rPr>
          <w:lang w:val="id-ID"/>
        </w:rPr>
        <w:t>.</w:t>
      </w:r>
      <w:r w:rsidRPr="00A51F09">
        <w:rPr>
          <w:lang w:val="id-ID"/>
        </w:rPr>
        <w:t xml:space="preserve"> Yang, J</w:t>
      </w:r>
      <w:r w:rsidR="00CB5660" w:rsidRPr="00CB5660">
        <w:rPr>
          <w:lang w:val="id-ID"/>
        </w:rPr>
        <w:t>.</w:t>
      </w:r>
      <w:r w:rsidRPr="00A51F09">
        <w:rPr>
          <w:lang w:val="id-ID"/>
        </w:rPr>
        <w:t xml:space="preserve"> Qi, M</w:t>
      </w:r>
      <w:r w:rsidR="00CB5660" w:rsidRPr="00CB5660">
        <w:rPr>
          <w:lang w:val="id-ID"/>
        </w:rPr>
        <w:t>.</w:t>
      </w:r>
      <w:r w:rsidRPr="00A51F09">
        <w:rPr>
          <w:lang w:val="id-ID"/>
        </w:rPr>
        <w:t xml:space="preserve"> Smiley, B</w:t>
      </w:r>
      <w:r w:rsidR="00CB5660" w:rsidRPr="00CB5660">
        <w:rPr>
          <w:lang w:val="id-ID"/>
        </w:rPr>
        <w:t>.</w:t>
      </w:r>
      <w:r w:rsidRPr="00A51F09">
        <w:rPr>
          <w:lang w:val="id-ID"/>
        </w:rPr>
        <w:t xml:space="preserve"> Rutherford, W</w:t>
      </w:r>
      <w:r w:rsidR="00CB5660" w:rsidRPr="00CB5660">
        <w:rPr>
          <w:lang w:val="id-ID"/>
        </w:rPr>
        <w:t>.</w:t>
      </w:r>
      <w:r w:rsidRPr="00A51F09">
        <w:rPr>
          <w:lang w:val="id-ID"/>
        </w:rPr>
        <w:t xml:space="preserve"> Wang, Y</w:t>
      </w:r>
      <w:r w:rsidR="00CB5660" w:rsidRPr="00CB5660">
        <w:rPr>
          <w:lang w:val="id-ID"/>
        </w:rPr>
        <w:t>.</w:t>
      </w:r>
      <w:r w:rsidRPr="00A51F09">
        <w:rPr>
          <w:lang w:val="id-ID"/>
        </w:rPr>
        <w:t xml:space="preserve"> &amp; McAllister, T. A. (2019). Impact of </w:t>
      </w:r>
      <w:r w:rsidRPr="00E83660">
        <w:rPr>
          <w:i/>
          <w:iCs/>
          <w:lang w:val="id-ID"/>
        </w:rPr>
        <w:t xml:space="preserve">Saccharomyces cerevisiae </w:t>
      </w:r>
      <w:r w:rsidRPr="00E83660">
        <w:rPr>
          <w:lang w:val="id-ID"/>
        </w:rPr>
        <w:t>and</w:t>
      </w:r>
      <w:r w:rsidRPr="00A51F09">
        <w:rPr>
          <w:lang w:val="id-ID"/>
        </w:rPr>
        <w:t xml:space="preserve"> </w:t>
      </w:r>
      <w:r w:rsidRPr="00E83660">
        <w:rPr>
          <w:i/>
          <w:iCs/>
          <w:lang w:val="id-ID"/>
        </w:rPr>
        <w:t>Lactobacillus buchneri</w:t>
      </w:r>
      <w:r w:rsidRPr="00A51F09">
        <w:rPr>
          <w:lang w:val="id-ID"/>
        </w:rPr>
        <w:t xml:space="preserve"> on microbial communities during ensiling and aerobic spoilage of corn silage. </w:t>
      </w:r>
      <w:r w:rsidRPr="00A51F09">
        <w:rPr>
          <w:i/>
          <w:iCs/>
          <w:lang w:val="id-ID"/>
        </w:rPr>
        <w:t>Journal of Animal Science</w:t>
      </w:r>
      <w:r w:rsidRPr="00A51F09">
        <w:rPr>
          <w:lang w:val="id-ID"/>
        </w:rPr>
        <w:t xml:space="preserve">, </w:t>
      </w:r>
      <w:r w:rsidRPr="00A51F09">
        <w:rPr>
          <w:i/>
          <w:iCs/>
          <w:lang w:val="id-ID"/>
        </w:rPr>
        <w:t>97</w:t>
      </w:r>
      <w:r w:rsidRPr="00A51F09">
        <w:rPr>
          <w:lang w:val="id-ID"/>
        </w:rPr>
        <w:t>(3), 1273–1285. https://doi.org/10.1093/jas/skz021</w:t>
      </w:r>
    </w:p>
    <w:p w14:paraId="5E1DDDAC" w14:textId="540601C8" w:rsidR="00A51F09" w:rsidRDefault="00A51F09" w:rsidP="008638E6">
      <w:pPr>
        <w:ind w:left="900" w:hanging="900"/>
        <w:rPr>
          <w:lang w:val="id-ID"/>
        </w:rPr>
      </w:pPr>
      <w:r w:rsidRPr="00A51F09">
        <w:rPr>
          <w:lang w:val="id-ID"/>
        </w:rPr>
        <w:t>Yin, X</w:t>
      </w:r>
      <w:r w:rsidR="00CB5660" w:rsidRPr="00CB5660">
        <w:rPr>
          <w:lang w:val="id-ID"/>
        </w:rPr>
        <w:t>.</w:t>
      </w:r>
      <w:r w:rsidRPr="00A51F09">
        <w:rPr>
          <w:lang w:val="id-ID"/>
        </w:rPr>
        <w:t xml:space="preserve"> Tian, J</w:t>
      </w:r>
      <w:r w:rsidR="00CB5660" w:rsidRPr="00CB5660">
        <w:rPr>
          <w:lang w:val="id-ID"/>
        </w:rPr>
        <w:t>.</w:t>
      </w:r>
      <w:r w:rsidRPr="00A51F09">
        <w:rPr>
          <w:lang w:val="id-ID"/>
        </w:rPr>
        <w:t xml:space="preserve"> &amp; Zhang, J. (2021). Effects of re-ensiling on the fermentation quality and microbial community of napier grass (</w:t>
      </w:r>
      <w:r w:rsidRPr="00CD341D">
        <w:rPr>
          <w:i/>
          <w:iCs/>
          <w:lang w:val="id-ID"/>
        </w:rPr>
        <w:t>Pennisetum purpureum</w:t>
      </w:r>
      <w:r w:rsidRPr="00A51F09">
        <w:rPr>
          <w:lang w:val="id-ID"/>
        </w:rPr>
        <w:t xml:space="preserve">) silage. </w:t>
      </w:r>
      <w:r w:rsidRPr="00A51F09">
        <w:rPr>
          <w:i/>
          <w:iCs/>
          <w:lang w:val="id-ID"/>
        </w:rPr>
        <w:t>Journal of the Science of Food and Agriculture</w:t>
      </w:r>
      <w:r w:rsidRPr="00A51F09">
        <w:rPr>
          <w:lang w:val="id-ID"/>
        </w:rPr>
        <w:t xml:space="preserve">, </w:t>
      </w:r>
      <w:r w:rsidRPr="00A51F09">
        <w:rPr>
          <w:i/>
          <w:iCs/>
          <w:lang w:val="id-ID"/>
        </w:rPr>
        <w:t>101</w:t>
      </w:r>
      <w:r w:rsidRPr="00A51F09">
        <w:rPr>
          <w:lang w:val="id-ID"/>
        </w:rPr>
        <w:t>(12), 5028–5037. https://doi.org/10.1002/jsfa.11147</w:t>
      </w:r>
    </w:p>
    <w:p w14:paraId="03762F08" w14:textId="09F32807" w:rsidR="00874A71" w:rsidRDefault="00E83660" w:rsidP="00874A71">
      <w:pPr>
        <w:ind w:left="900" w:hanging="900"/>
      </w:pPr>
      <w:r>
        <w:lastRenderedPageBreak/>
        <w:t xml:space="preserve">Yunianta and Hartatik. (2015). The Use of </w:t>
      </w:r>
      <w:r w:rsidRPr="00E83660">
        <w:rPr>
          <w:i/>
          <w:iCs/>
        </w:rPr>
        <w:t>Trichoderma</w:t>
      </w:r>
      <w:r>
        <w:t xml:space="preserve"> sp. as a Starter of Fermentation Dry Teak Leaves (</w:t>
      </w:r>
      <w:r w:rsidRPr="00E83660">
        <w:rPr>
          <w:i/>
          <w:iCs/>
        </w:rPr>
        <w:t>Tectona grandis</w:t>
      </w:r>
      <w:r>
        <w:t>) as Animal Feed. The 6th International Seminar on Tropical Animal Production. Yogyakarta, Indonesia.</w:t>
      </w:r>
    </w:p>
    <w:p w14:paraId="3AA7A1B0" w14:textId="77777777" w:rsidR="00B11C96" w:rsidRDefault="00B11C96" w:rsidP="00874A71">
      <w:pPr>
        <w:ind w:left="900" w:hanging="900"/>
      </w:pPr>
    </w:p>
    <w:p w14:paraId="3B351817" w14:textId="77777777" w:rsidR="00B11C96" w:rsidRDefault="00B11C96" w:rsidP="00874A71">
      <w:pPr>
        <w:ind w:left="900" w:hanging="900"/>
      </w:pPr>
    </w:p>
    <w:p w14:paraId="73004036" w14:textId="77777777" w:rsidR="00B11C96" w:rsidRDefault="00B11C96" w:rsidP="00874A71">
      <w:pPr>
        <w:ind w:left="900" w:hanging="900"/>
      </w:pPr>
    </w:p>
    <w:p w14:paraId="23A314A6" w14:textId="77777777" w:rsidR="00874A71" w:rsidRDefault="00874A71" w:rsidP="00874A71">
      <w:pPr>
        <w:ind w:left="900" w:hanging="900"/>
      </w:pPr>
    </w:p>
    <w:p w14:paraId="5B96C11E" w14:textId="77777777" w:rsidR="00874A71" w:rsidRDefault="00874A71" w:rsidP="00874A71">
      <w:pPr>
        <w:ind w:left="900" w:hanging="900"/>
      </w:pPr>
    </w:p>
    <w:p w14:paraId="7E6117B2" w14:textId="77777777" w:rsidR="00874A71" w:rsidRDefault="00874A71" w:rsidP="008638E6">
      <w:pPr>
        <w:ind w:left="900" w:hanging="900"/>
      </w:pPr>
    </w:p>
    <w:p w14:paraId="6B7B56CE" w14:textId="77777777" w:rsidR="00874A71" w:rsidRDefault="00874A71" w:rsidP="008638E6">
      <w:pPr>
        <w:ind w:left="900" w:hanging="900"/>
      </w:pPr>
    </w:p>
    <w:p w14:paraId="19DFD536" w14:textId="77777777" w:rsidR="00874A71" w:rsidRDefault="00874A71" w:rsidP="008638E6">
      <w:pPr>
        <w:ind w:left="900" w:hanging="900"/>
      </w:pPr>
    </w:p>
    <w:p w14:paraId="03076EAC" w14:textId="77777777" w:rsidR="00874A71" w:rsidRDefault="00874A71" w:rsidP="008638E6">
      <w:pPr>
        <w:ind w:left="900" w:hanging="900"/>
      </w:pPr>
    </w:p>
    <w:p w14:paraId="1C63CB19" w14:textId="77777777" w:rsidR="00874A71" w:rsidRDefault="00874A71" w:rsidP="008638E6">
      <w:pPr>
        <w:ind w:left="900" w:hanging="900"/>
      </w:pPr>
    </w:p>
    <w:p w14:paraId="4DDF2582" w14:textId="77777777" w:rsidR="00874A71" w:rsidRDefault="00874A71" w:rsidP="008638E6">
      <w:pPr>
        <w:ind w:left="900" w:hanging="900"/>
      </w:pPr>
    </w:p>
    <w:p w14:paraId="4067268C" w14:textId="77777777" w:rsidR="00874A71" w:rsidRDefault="00874A71" w:rsidP="008638E6">
      <w:pPr>
        <w:ind w:left="900" w:hanging="900"/>
      </w:pPr>
    </w:p>
    <w:p w14:paraId="0B903A40" w14:textId="77777777" w:rsidR="00874A71" w:rsidRDefault="00874A71" w:rsidP="008638E6">
      <w:pPr>
        <w:ind w:left="900" w:hanging="900"/>
      </w:pPr>
    </w:p>
    <w:p w14:paraId="158C85E9" w14:textId="77777777" w:rsidR="00874A71" w:rsidRDefault="00874A71" w:rsidP="008638E6">
      <w:pPr>
        <w:ind w:left="900" w:hanging="900"/>
      </w:pPr>
    </w:p>
    <w:p w14:paraId="72685DA5" w14:textId="77777777" w:rsidR="00874A71" w:rsidRDefault="00874A71" w:rsidP="008638E6">
      <w:pPr>
        <w:ind w:left="900" w:hanging="900"/>
      </w:pPr>
    </w:p>
    <w:p w14:paraId="53BDE278" w14:textId="77777777" w:rsidR="00874A71" w:rsidRDefault="00874A71" w:rsidP="008638E6">
      <w:pPr>
        <w:ind w:left="900" w:hanging="900"/>
      </w:pPr>
    </w:p>
    <w:p w14:paraId="165DECD2" w14:textId="77777777" w:rsidR="00874A71" w:rsidRDefault="00874A71" w:rsidP="008638E6">
      <w:pPr>
        <w:ind w:left="900" w:hanging="900"/>
      </w:pPr>
    </w:p>
    <w:p w14:paraId="028C87A6" w14:textId="77777777" w:rsidR="00874A71" w:rsidRDefault="00874A71" w:rsidP="008638E6">
      <w:pPr>
        <w:ind w:left="900" w:hanging="900"/>
      </w:pPr>
    </w:p>
    <w:p w14:paraId="03485FFC" w14:textId="77777777" w:rsidR="00874A71" w:rsidRDefault="00874A71" w:rsidP="008638E6">
      <w:pPr>
        <w:ind w:left="900" w:hanging="900"/>
      </w:pPr>
    </w:p>
    <w:p w14:paraId="5AA12545" w14:textId="77777777" w:rsidR="00874A71" w:rsidRDefault="00874A71" w:rsidP="008638E6">
      <w:pPr>
        <w:ind w:left="900" w:hanging="900"/>
      </w:pPr>
    </w:p>
    <w:p w14:paraId="21A67F05" w14:textId="77777777" w:rsidR="00874A71" w:rsidRDefault="00874A71" w:rsidP="008638E6">
      <w:pPr>
        <w:ind w:left="900" w:hanging="900"/>
      </w:pPr>
    </w:p>
    <w:p w14:paraId="06E588C9" w14:textId="77777777" w:rsidR="00874A71" w:rsidRDefault="00874A71" w:rsidP="008638E6">
      <w:pPr>
        <w:ind w:left="900" w:hanging="900"/>
      </w:pPr>
    </w:p>
    <w:p w14:paraId="29E4C98E" w14:textId="77777777" w:rsidR="00874A71" w:rsidRDefault="00874A71" w:rsidP="008638E6">
      <w:pPr>
        <w:ind w:left="900" w:hanging="900"/>
      </w:pPr>
    </w:p>
    <w:p w14:paraId="7A35AC09" w14:textId="77777777" w:rsidR="00B11C96" w:rsidRDefault="00B11C96" w:rsidP="008638E6">
      <w:pPr>
        <w:ind w:left="900" w:hanging="900"/>
      </w:pPr>
    </w:p>
    <w:p w14:paraId="79B3C8CD" w14:textId="77777777" w:rsidR="00B11C96" w:rsidRDefault="00B11C96" w:rsidP="008638E6">
      <w:pPr>
        <w:ind w:left="900" w:hanging="900"/>
      </w:pPr>
    </w:p>
    <w:p w14:paraId="79D20B73" w14:textId="77777777" w:rsidR="00B11C96" w:rsidRDefault="00B11C96" w:rsidP="008638E6">
      <w:pPr>
        <w:ind w:left="900" w:hanging="900"/>
      </w:pPr>
    </w:p>
    <w:p w14:paraId="60891A6B" w14:textId="77777777" w:rsidR="00B11C96" w:rsidRDefault="00B11C96" w:rsidP="008638E6">
      <w:pPr>
        <w:ind w:left="900" w:hanging="900"/>
      </w:pPr>
    </w:p>
    <w:p w14:paraId="2834B9DA" w14:textId="77777777" w:rsidR="00B11C96" w:rsidRDefault="00B11C96" w:rsidP="008638E6">
      <w:pPr>
        <w:ind w:left="900" w:hanging="900"/>
      </w:pPr>
    </w:p>
    <w:p w14:paraId="42365951" w14:textId="77777777" w:rsidR="00B11C96" w:rsidRDefault="00B11C96" w:rsidP="008638E6">
      <w:pPr>
        <w:ind w:left="900" w:hanging="900"/>
      </w:pPr>
    </w:p>
    <w:tbl>
      <w:tblPr>
        <w:tblStyle w:val="TableGrid"/>
        <w:tblW w:w="0" w:type="auto"/>
        <w:tblInd w:w="1838" w:type="dxa"/>
        <w:tblLook w:val="04A0" w:firstRow="1" w:lastRow="0" w:firstColumn="1" w:lastColumn="0" w:noHBand="0" w:noVBand="1"/>
      </w:tblPr>
      <w:tblGrid>
        <w:gridCol w:w="3608"/>
        <w:gridCol w:w="2053"/>
      </w:tblGrid>
      <w:tr w:rsidR="00B11C96" w:rsidRPr="00A51F09" w14:paraId="36CDDC0F" w14:textId="77777777" w:rsidTr="00F75387">
        <w:trPr>
          <w:trHeight w:val="345"/>
        </w:trPr>
        <w:tc>
          <w:tcPr>
            <w:tcW w:w="3402" w:type="dxa"/>
            <w:vMerge w:val="restart"/>
            <w:vAlign w:val="center"/>
          </w:tcPr>
          <w:p w14:paraId="2B9C05A6" w14:textId="77777777" w:rsidR="00B11C96" w:rsidRPr="00A51F09" w:rsidRDefault="00B11C96" w:rsidP="00F75387">
            <w:r w:rsidRPr="00A51F09">
              <w:lastRenderedPageBreak/>
              <mc:AlternateContent>
                <mc:Choice Requires="wps">
                  <w:drawing>
                    <wp:anchor distT="0" distB="0" distL="114300" distR="114300" simplePos="0" relativeHeight="251659264" behindDoc="0" locked="0" layoutInCell="1" allowOverlap="1" wp14:anchorId="234B48B6" wp14:editId="1A312A70">
                      <wp:simplePos x="0" y="0"/>
                      <wp:positionH relativeFrom="column">
                        <wp:posOffset>1270</wp:posOffset>
                      </wp:positionH>
                      <wp:positionV relativeFrom="paragraph">
                        <wp:posOffset>-1905</wp:posOffset>
                      </wp:positionV>
                      <wp:extent cx="281305" cy="264160"/>
                      <wp:effectExtent l="0" t="0" r="23495" b="21590"/>
                      <wp:wrapNone/>
                      <wp:docPr id="478995476" name="Text Box 478995476"/>
                      <wp:cNvGraphicFramePr/>
                      <a:graphic xmlns:a="http://schemas.openxmlformats.org/drawingml/2006/main">
                        <a:graphicData uri="http://schemas.microsoft.com/office/word/2010/wordprocessingShape">
                          <wps:wsp>
                            <wps:cNvSpPr txBox="1"/>
                            <wps:spPr>
                              <a:xfrm>
                                <a:off x="0" y="0"/>
                                <a:ext cx="281305" cy="264160"/>
                              </a:xfrm>
                              <a:prstGeom prst="rect">
                                <a:avLst/>
                              </a:prstGeom>
                              <a:noFill/>
                              <a:ln w="6350">
                                <a:solidFill>
                                  <a:schemeClr val="tx1"/>
                                </a:solidFill>
                              </a:ln>
                            </wps:spPr>
                            <wps:txbx>
                              <w:txbxContent>
                                <w:p w14:paraId="5393676E" w14:textId="77777777" w:rsidR="00B11C96" w:rsidRPr="00E522AD" w:rsidRDefault="00B11C96" w:rsidP="00B11C96">
                                  <w:pPr>
                                    <w:rPr>
                                      <w:rFonts w:cs="Times New Roman"/>
                                      <w:b/>
                                      <w:bCs/>
                                    </w:rPr>
                                  </w:pPr>
                                  <w:r w:rsidRPr="00E522AD">
                                    <w:rPr>
                                      <w:rFonts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B48B6" id="_x0000_t202" coordsize="21600,21600" o:spt="202" path="m,l,21600r21600,l21600,xe">
                      <v:stroke joinstyle="miter"/>
                      <v:path gradientshapeok="t" o:connecttype="rect"/>
                    </v:shapetype>
                    <v:shape id="Text Box 478995476" o:spid="_x0000_s1026" type="#_x0000_t202" style="position:absolute;left:0;text-align:left;margin-left:.1pt;margin-top:-.15pt;width:22.1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" filled="f" strokecolor="black [3213]" strokeweight=".5pt">
                      <v:textbox>
                        <w:txbxContent>
                          <w:p w14:paraId="5393676E" w14:textId="77777777" w:rsidR="00B11C96" w:rsidRPr="00E522AD" w:rsidRDefault="00B11C96" w:rsidP="00B11C96">
                            <w:pPr>
                              <w:rPr>
                                <w:rFonts w:cs="Times New Roman"/>
                                <w:b/>
                                <w:bCs/>
                              </w:rPr>
                            </w:pPr>
                            <w:r w:rsidRPr="00E522AD">
                              <w:rPr>
                                <w:rFonts w:cs="Times New Roman"/>
                                <w:b/>
                                <w:bCs/>
                              </w:rPr>
                              <w:t>A</w:t>
                            </w:r>
                          </w:p>
                        </w:txbxContent>
                      </v:textbox>
                    </v:shape>
                  </w:pict>
                </mc:Fallback>
              </mc:AlternateContent>
            </w:r>
            <w:r w:rsidRPr="00A51F09">
              <w:drawing>
                <wp:inline distT="0" distB="0" distL="0" distR="0" wp14:anchorId="6B35C6A1" wp14:editId="0911F452">
                  <wp:extent cx="2153972" cy="1820545"/>
                  <wp:effectExtent l="0" t="0" r="0" b="8255"/>
                  <wp:docPr id="651854247" name="Picture 65185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54247" name="Picture 651854247"/>
                          <pic:cNvPicPr/>
                        </pic:nvPicPr>
                        <pic:blipFill rotWithShape="1">
                          <a:blip r:embed="rId9" cstate="print">
                            <a:extLst>
                              <a:ext uri="{28A0092B-C50C-407E-A947-70E740481C1C}">
                                <a14:useLocalDpi xmlns:a14="http://schemas.microsoft.com/office/drawing/2010/main" val="0"/>
                              </a:ext>
                            </a:extLst>
                          </a:blip>
                          <a:srcRect l="10663" r="10312"/>
                          <a:stretch/>
                        </pic:blipFill>
                        <pic:spPr bwMode="auto">
                          <a:xfrm>
                            <a:off x="0" y="0"/>
                            <a:ext cx="2170954" cy="1834899"/>
                          </a:xfrm>
                          <a:prstGeom prst="rect">
                            <a:avLst/>
                          </a:prstGeom>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1B9178A4" w14:textId="77777777" w:rsidR="00B11C96" w:rsidRPr="00A51F09" w:rsidRDefault="00B11C96" w:rsidP="00F75387">
            <w:r w:rsidRPr="00A51F09">
              <mc:AlternateContent>
                <mc:Choice Requires="wps">
                  <w:drawing>
                    <wp:anchor distT="0" distB="0" distL="114300" distR="114300" simplePos="0" relativeHeight="251660288" behindDoc="0" locked="0" layoutInCell="1" allowOverlap="1" wp14:anchorId="10D69B93" wp14:editId="141B0935">
                      <wp:simplePos x="0" y="0"/>
                      <wp:positionH relativeFrom="column">
                        <wp:posOffset>2540</wp:posOffset>
                      </wp:positionH>
                      <wp:positionV relativeFrom="paragraph">
                        <wp:posOffset>1905</wp:posOffset>
                      </wp:positionV>
                      <wp:extent cx="281305" cy="264160"/>
                      <wp:effectExtent l="0" t="0" r="23495" b="21590"/>
                      <wp:wrapNone/>
                      <wp:docPr id="994571875" name="Text Box 994571875"/>
                      <wp:cNvGraphicFramePr/>
                      <a:graphic xmlns:a="http://schemas.openxmlformats.org/drawingml/2006/main">
                        <a:graphicData uri="http://schemas.microsoft.com/office/word/2010/wordprocessingShape">
                          <wps:wsp>
                            <wps:cNvSpPr txBox="1"/>
                            <wps:spPr>
                              <a:xfrm>
                                <a:off x="0" y="0"/>
                                <a:ext cx="281305" cy="264160"/>
                              </a:xfrm>
                              <a:prstGeom prst="rect">
                                <a:avLst/>
                              </a:prstGeom>
                              <a:noFill/>
                              <a:ln w="6350">
                                <a:solidFill>
                                  <a:schemeClr val="tx1"/>
                                </a:solidFill>
                              </a:ln>
                            </wps:spPr>
                            <wps:txbx>
                              <w:txbxContent>
                                <w:p w14:paraId="58F3C718" w14:textId="77777777" w:rsidR="00B11C96" w:rsidRPr="00E522AD" w:rsidRDefault="00B11C96" w:rsidP="00B11C96">
                                  <w:pPr>
                                    <w:rPr>
                                      <w:rFonts w:cs="Times New Roman"/>
                                      <w:b/>
                                      <w:bCs/>
                                    </w:rPr>
                                  </w:pPr>
                                  <w:r>
                                    <w:rPr>
                                      <w:rFonts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9B93" id="Text Box 994571875" o:spid="_x0000_s1027" type="#_x0000_t202" style="position:absolute;left:0;text-align:left;margin-left:.2pt;margin-top:.15pt;width:22.1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" filled="f" strokecolor="black [3213]" strokeweight=".5pt">
                      <v:textbox>
                        <w:txbxContent>
                          <w:p w14:paraId="58F3C718" w14:textId="77777777" w:rsidR="00B11C96" w:rsidRPr="00E522AD" w:rsidRDefault="00B11C96" w:rsidP="00B11C96">
                            <w:pPr>
                              <w:rPr>
                                <w:rFonts w:cs="Times New Roman"/>
                                <w:b/>
                                <w:bCs/>
                              </w:rPr>
                            </w:pPr>
                            <w:r>
                              <w:rPr>
                                <w:rFonts w:cs="Times New Roman"/>
                                <w:b/>
                                <w:bCs/>
                              </w:rPr>
                              <w:t>B</w:t>
                            </w:r>
                          </w:p>
                        </w:txbxContent>
                      </v:textbox>
                    </v:shape>
                  </w:pict>
                </mc:Fallback>
              </mc:AlternateContent>
            </w:r>
            <w:r w:rsidRPr="00A51F09">
              <w:drawing>
                <wp:inline distT="0" distB="0" distL="0" distR="0" wp14:anchorId="6C3CEF92" wp14:editId="78BFB284">
                  <wp:extent cx="1166964" cy="834887"/>
                  <wp:effectExtent l="0" t="0" r="0" b="3810"/>
                  <wp:docPr id="351158039" name="Picture 35115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58039" name="Picture 14"/>
                          <pic:cNvPicPr/>
                        </pic:nvPicPr>
                        <pic:blipFill rotWithShape="1">
                          <a:blip r:embed="rId10" cstate="print">
                            <a:extLst>
                              <a:ext uri="{28A0092B-C50C-407E-A947-70E740481C1C}">
                                <a14:useLocalDpi xmlns:a14="http://schemas.microsoft.com/office/drawing/2010/main" val="0"/>
                              </a:ext>
                            </a:extLst>
                          </a:blip>
                          <a:srcRect l="29485" t="32844" r="27243" b="36198"/>
                          <a:stretch/>
                        </pic:blipFill>
                        <pic:spPr bwMode="auto">
                          <a:xfrm>
                            <a:off x="0" y="0"/>
                            <a:ext cx="1189957" cy="851337"/>
                          </a:xfrm>
                          <a:prstGeom prst="rect">
                            <a:avLst/>
                          </a:prstGeom>
                          <a:ln>
                            <a:noFill/>
                          </a:ln>
                          <a:extLst>
                            <a:ext uri="{53640926-AAD7-44D8-BBD7-CCE9431645EC}">
                              <a14:shadowObscured xmlns:a14="http://schemas.microsoft.com/office/drawing/2010/main"/>
                            </a:ext>
                          </a:extLst>
                        </pic:spPr>
                      </pic:pic>
                    </a:graphicData>
                  </a:graphic>
                </wp:inline>
              </w:drawing>
            </w:r>
          </w:p>
        </w:tc>
      </w:tr>
      <w:tr w:rsidR="00B11C96" w:rsidRPr="00A51F09" w14:paraId="3B12FEC3" w14:textId="77777777" w:rsidTr="00F75387">
        <w:tc>
          <w:tcPr>
            <w:tcW w:w="3402" w:type="dxa"/>
            <w:vMerge/>
            <w:vAlign w:val="center"/>
          </w:tcPr>
          <w:p w14:paraId="127FF2EF" w14:textId="77777777" w:rsidR="00B11C96" w:rsidRPr="00A51F09" w:rsidRDefault="00B11C96" w:rsidP="00F75387"/>
        </w:tc>
        <w:tc>
          <w:tcPr>
            <w:tcW w:w="1418" w:type="dxa"/>
            <w:vAlign w:val="center"/>
          </w:tcPr>
          <w:p w14:paraId="5197793D" w14:textId="77777777" w:rsidR="00B11C96" w:rsidRPr="00A51F09" w:rsidRDefault="00B11C96" w:rsidP="00F75387">
            <w:r w:rsidRPr="00A51F09">
              <mc:AlternateContent>
                <mc:Choice Requires="wps">
                  <w:drawing>
                    <wp:anchor distT="0" distB="0" distL="114300" distR="114300" simplePos="0" relativeHeight="251661312" behindDoc="0" locked="0" layoutInCell="1" allowOverlap="1" wp14:anchorId="6D30632B" wp14:editId="74595424">
                      <wp:simplePos x="0" y="0"/>
                      <wp:positionH relativeFrom="column">
                        <wp:posOffset>-3810</wp:posOffset>
                      </wp:positionH>
                      <wp:positionV relativeFrom="paragraph">
                        <wp:posOffset>-4445</wp:posOffset>
                      </wp:positionV>
                      <wp:extent cx="281305" cy="264160"/>
                      <wp:effectExtent l="0" t="0" r="23495" b="21590"/>
                      <wp:wrapNone/>
                      <wp:docPr id="682206734" name="Text Box 682206734"/>
                      <wp:cNvGraphicFramePr/>
                      <a:graphic xmlns:a="http://schemas.openxmlformats.org/drawingml/2006/main">
                        <a:graphicData uri="http://schemas.microsoft.com/office/word/2010/wordprocessingShape">
                          <wps:wsp>
                            <wps:cNvSpPr txBox="1"/>
                            <wps:spPr>
                              <a:xfrm>
                                <a:off x="0" y="0"/>
                                <a:ext cx="281305" cy="264160"/>
                              </a:xfrm>
                              <a:prstGeom prst="rect">
                                <a:avLst/>
                              </a:prstGeom>
                              <a:noFill/>
                              <a:ln w="6350">
                                <a:solidFill>
                                  <a:schemeClr val="tx1"/>
                                </a:solidFill>
                              </a:ln>
                            </wps:spPr>
                            <wps:txbx>
                              <w:txbxContent>
                                <w:p w14:paraId="1B29BF49" w14:textId="77777777" w:rsidR="00B11C96" w:rsidRPr="00E522AD" w:rsidRDefault="00B11C96" w:rsidP="00B11C96">
                                  <w:pPr>
                                    <w:rPr>
                                      <w:rFonts w:cs="Times New Roman"/>
                                      <w:b/>
                                      <w:bCs/>
                                    </w:rPr>
                                  </w:pPr>
                                  <w:r>
                                    <w:rPr>
                                      <w:rFonts w:cs="Times New Roman"/>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632B" id="Text Box 682206734" o:spid="_x0000_s1028" type="#_x0000_t202" style="position:absolute;left:0;text-align:left;margin-left:-.3pt;margin-top:-.35pt;width:22.1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" filled="f" strokecolor="black [3213]" strokeweight=".5pt">
                      <v:textbox>
                        <w:txbxContent>
                          <w:p w14:paraId="1B29BF49" w14:textId="77777777" w:rsidR="00B11C96" w:rsidRPr="00E522AD" w:rsidRDefault="00B11C96" w:rsidP="00B11C96">
                            <w:pPr>
                              <w:rPr>
                                <w:rFonts w:cs="Times New Roman"/>
                                <w:b/>
                                <w:bCs/>
                              </w:rPr>
                            </w:pPr>
                            <w:r>
                              <w:rPr>
                                <w:rFonts w:cs="Times New Roman"/>
                                <w:b/>
                                <w:bCs/>
                              </w:rPr>
                              <w:t>C</w:t>
                            </w:r>
                          </w:p>
                        </w:txbxContent>
                      </v:textbox>
                    </v:shape>
                  </w:pict>
                </mc:Fallback>
              </mc:AlternateContent>
            </w:r>
            <w:r w:rsidRPr="00A51F09">
              <w:drawing>
                <wp:inline distT="0" distB="0" distL="0" distR="0" wp14:anchorId="21FDDC18" wp14:editId="22F157AB">
                  <wp:extent cx="1162050" cy="993671"/>
                  <wp:effectExtent l="0" t="0" r="0" b="0"/>
                  <wp:docPr id="2002359051" name="Picture 200235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9051" name="Picture 2002359051"/>
                          <pic:cNvPicPr/>
                        </pic:nvPicPr>
                        <pic:blipFill rotWithShape="1">
                          <a:blip r:embed="rId11" cstate="print">
                            <a:extLst>
                              <a:ext uri="{28A0092B-C50C-407E-A947-70E740481C1C}">
                                <a14:useLocalDpi xmlns:a14="http://schemas.microsoft.com/office/drawing/2010/main" val="0"/>
                              </a:ext>
                            </a:extLst>
                          </a:blip>
                          <a:srcRect l="35406" t="39822" r="29831" b="30452"/>
                          <a:stretch/>
                        </pic:blipFill>
                        <pic:spPr bwMode="auto">
                          <a:xfrm>
                            <a:off x="0" y="0"/>
                            <a:ext cx="1183370" cy="10119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33F9BE" w14:textId="77777777" w:rsidR="00B11C96" w:rsidRDefault="00B11C96" w:rsidP="00B11C96"/>
    <w:p w14:paraId="0B0F6601" w14:textId="08E5B58C" w:rsidR="00B11C96" w:rsidRPr="009704D8" w:rsidRDefault="00B11C96" w:rsidP="00B11C96">
      <w:r>
        <w:rPr>
          <w:b/>
          <w:bCs/>
        </w:rPr>
        <w:t>Fig</w:t>
      </w:r>
      <w:r w:rsidRPr="00B11C96">
        <w:rPr>
          <w:b/>
          <w:bCs/>
        </w:rPr>
        <w:t xml:space="preserve"> 1. (A)</w:t>
      </w:r>
      <w:r w:rsidR="009704D8" w:rsidRPr="009704D8">
        <w:t xml:space="preserve"> </w:t>
      </w:r>
      <w:r w:rsidR="00E00DF5">
        <w:t>Probiotic starter with heriyaki powder</w:t>
      </w:r>
      <w:r w:rsidR="009704D8" w:rsidRPr="009704D8">
        <w:t xml:space="preserve"> silage pellets</w:t>
      </w:r>
      <w:r w:rsidRPr="00B11C96">
        <w:t xml:space="preserve">; </w:t>
      </w:r>
      <w:r w:rsidRPr="00B11C96">
        <w:rPr>
          <w:b/>
          <w:bCs/>
        </w:rPr>
        <w:t>(B)</w:t>
      </w:r>
      <w:r w:rsidR="009704D8">
        <w:t xml:space="preserve"> </w:t>
      </w:r>
      <w:r w:rsidR="009704D8" w:rsidRPr="009704D8">
        <w:t>Pellet height</w:t>
      </w:r>
      <w:r w:rsidRPr="00B11C96">
        <w:t xml:space="preserve">; </w:t>
      </w:r>
      <w:r w:rsidRPr="00B11C96">
        <w:rPr>
          <w:b/>
          <w:bCs/>
        </w:rPr>
        <w:t xml:space="preserve">(C) </w:t>
      </w:r>
      <w:r w:rsidR="009704D8" w:rsidRPr="009704D8">
        <w:t>Pellet diameter</w:t>
      </w:r>
    </w:p>
    <w:p w14:paraId="15B1195D" w14:textId="77777777" w:rsidR="00B11C96" w:rsidRDefault="00B11C96" w:rsidP="00B11C96"/>
    <w:p w14:paraId="05ACABBF" w14:textId="0AA6D0C1" w:rsidR="00B11C96" w:rsidRPr="00A51F09" w:rsidRDefault="009704D8" w:rsidP="00B11C96">
      <w:bookmarkStart w:id="4" w:name="_Toc1664"/>
      <w:bookmarkStart w:id="5" w:name="_Toc4506"/>
      <w:bookmarkStart w:id="6" w:name="_Toc20493"/>
      <w:bookmarkStart w:id="7" w:name="_Toc30854"/>
      <w:bookmarkStart w:id="8" w:name="_Toc15232"/>
      <w:bookmarkStart w:id="9" w:name="_Toc23796"/>
      <w:bookmarkStart w:id="10" w:name="_Toc1225"/>
      <w:bookmarkStart w:id="11" w:name="_Toc10626"/>
      <w:bookmarkStart w:id="12" w:name="_Toc21460"/>
      <w:r>
        <w:rPr>
          <w:b/>
          <w:bCs/>
        </w:rPr>
        <w:t>Table</w:t>
      </w:r>
      <w:r w:rsidR="00B11C96" w:rsidRPr="00A51F09">
        <w:rPr>
          <w:b/>
          <w:bCs/>
        </w:rPr>
        <w:t xml:space="preserve"> 1. </w:t>
      </w:r>
      <w:bookmarkEnd w:id="4"/>
      <w:bookmarkEnd w:id="5"/>
      <w:bookmarkEnd w:id="6"/>
      <w:bookmarkEnd w:id="7"/>
      <w:bookmarkEnd w:id="8"/>
      <w:bookmarkEnd w:id="9"/>
      <w:bookmarkEnd w:id="10"/>
      <w:bookmarkEnd w:id="11"/>
      <w:bookmarkEnd w:id="12"/>
      <w:r w:rsidRPr="009704D8">
        <w:t>Silage Quality Categories Based on pH Value.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218"/>
        <w:gridCol w:w="3217"/>
      </w:tblGrid>
      <w:tr w:rsidR="00B11C96" w:rsidRPr="00A51F09" w14:paraId="05478F9A" w14:textId="77777777" w:rsidTr="00F75387">
        <w:trPr>
          <w:jc w:val="center"/>
        </w:trPr>
        <w:tc>
          <w:tcPr>
            <w:tcW w:w="3218" w:type="dxa"/>
            <w:vAlign w:val="center"/>
          </w:tcPr>
          <w:p w14:paraId="4C45710A" w14:textId="0422898F" w:rsidR="00B11C96" w:rsidRPr="009704D8" w:rsidRDefault="009704D8" w:rsidP="00F75387">
            <w:pPr>
              <w:jc w:val="center"/>
              <w:rPr>
                <w:b/>
                <w:bCs/>
                <w:sz w:val="20"/>
                <w:szCs w:val="18"/>
              </w:rPr>
            </w:pPr>
            <w:r>
              <w:rPr>
                <w:b/>
                <w:bCs/>
                <w:sz w:val="20"/>
                <w:szCs w:val="18"/>
              </w:rPr>
              <w:t>Category</w:t>
            </w:r>
          </w:p>
        </w:tc>
        <w:tc>
          <w:tcPr>
            <w:tcW w:w="3217" w:type="dxa"/>
            <w:vAlign w:val="center"/>
          </w:tcPr>
          <w:p w14:paraId="1F0E5E62" w14:textId="190A2BC1" w:rsidR="00B11C96" w:rsidRPr="009704D8" w:rsidRDefault="00B11C96" w:rsidP="00F75387">
            <w:pPr>
              <w:jc w:val="center"/>
              <w:rPr>
                <w:b/>
                <w:bCs/>
                <w:sz w:val="20"/>
                <w:szCs w:val="18"/>
              </w:rPr>
            </w:pPr>
            <w:r w:rsidRPr="00A51F09">
              <w:rPr>
                <w:b/>
                <w:bCs/>
                <w:sz w:val="20"/>
                <w:szCs w:val="18"/>
                <w:lang w:val="id-ID"/>
              </w:rPr>
              <w:t>pH</w:t>
            </w:r>
            <w:r w:rsidR="009704D8">
              <w:rPr>
                <w:b/>
                <w:bCs/>
                <w:sz w:val="20"/>
                <w:szCs w:val="18"/>
              </w:rPr>
              <w:t xml:space="preserve"> value</w:t>
            </w:r>
          </w:p>
        </w:tc>
      </w:tr>
      <w:tr w:rsidR="00B11C96" w:rsidRPr="00A51F09" w14:paraId="5E15CAA1" w14:textId="77777777" w:rsidTr="00F75387">
        <w:trPr>
          <w:jc w:val="center"/>
        </w:trPr>
        <w:tc>
          <w:tcPr>
            <w:tcW w:w="3218" w:type="dxa"/>
            <w:tcBorders>
              <w:bottom w:val="nil"/>
            </w:tcBorders>
            <w:vAlign w:val="center"/>
          </w:tcPr>
          <w:p w14:paraId="255CAAB0" w14:textId="7A2F5314" w:rsidR="00B11C96" w:rsidRPr="009704D8" w:rsidRDefault="009704D8" w:rsidP="00F75387">
            <w:pPr>
              <w:jc w:val="center"/>
              <w:rPr>
                <w:sz w:val="20"/>
                <w:szCs w:val="18"/>
              </w:rPr>
            </w:pPr>
            <w:r>
              <w:rPr>
                <w:sz w:val="20"/>
                <w:szCs w:val="18"/>
              </w:rPr>
              <w:t>Very good</w:t>
            </w:r>
          </w:p>
        </w:tc>
        <w:tc>
          <w:tcPr>
            <w:tcW w:w="3217" w:type="dxa"/>
            <w:tcBorders>
              <w:bottom w:val="nil"/>
            </w:tcBorders>
            <w:vAlign w:val="center"/>
          </w:tcPr>
          <w:p w14:paraId="6F0CEE10" w14:textId="77777777" w:rsidR="00B11C96" w:rsidRPr="00A51F09" w:rsidRDefault="00B11C96" w:rsidP="00F75387">
            <w:pPr>
              <w:jc w:val="center"/>
              <w:rPr>
                <w:sz w:val="20"/>
                <w:szCs w:val="18"/>
                <w:lang w:val="id-ID"/>
              </w:rPr>
            </w:pPr>
            <w:r w:rsidRPr="00A51F09">
              <w:rPr>
                <w:sz w:val="20"/>
                <w:szCs w:val="18"/>
                <w:lang w:val="id-ID"/>
              </w:rPr>
              <w:t>pH 3</w:t>
            </w:r>
            <w:r w:rsidRPr="00A51F09">
              <w:rPr>
                <w:sz w:val="20"/>
                <w:szCs w:val="18"/>
              </w:rPr>
              <w:t>.</w:t>
            </w:r>
            <w:r w:rsidRPr="00A51F09">
              <w:rPr>
                <w:sz w:val="20"/>
                <w:szCs w:val="18"/>
                <w:lang w:val="id-ID"/>
              </w:rPr>
              <w:t>2-4</w:t>
            </w:r>
            <w:r w:rsidRPr="00A51F09">
              <w:rPr>
                <w:sz w:val="20"/>
                <w:szCs w:val="18"/>
              </w:rPr>
              <w:t>.</w:t>
            </w:r>
            <w:r w:rsidRPr="00A51F09">
              <w:rPr>
                <w:sz w:val="20"/>
                <w:szCs w:val="18"/>
                <w:lang w:val="id-ID"/>
              </w:rPr>
              <w:t>2</w:t>
            </w:r>
          </w:p>
        </w:tc>
      </w:tr>
      <w:tr w:rsidR="00B11C96" w:rsidRPr="00A51F09" w14:paraId="38E76287" w14:textId="77777777" w:rsidTr="00F75387">
        <w:trPr>
          <w:jc w:val="center"/>
        </w:trPr>
        <w:tc>
          <w:tcPr>
            <w:tcW w:w="3218" w:type="dxa"/>
            <w:tcBorders>
              <w:top w:val="nil"/>
              <w:bottom w:val="nil"/>
            </w:tcBorders>
            <w:vAlign w:val="center"/>
          </w:tcPr>
          <w:p w14:paraId="050B7535" w14:textId="368095DC" w:rsidR="00B11C96" w:rsidRPr="009704D8" w:rsidRDefault="009704D8" w:rsidP="00F75387">
            <w:pPr>
              <w:jc w:val="center"/>
              <w:rPr>
                <w:sz w:val="20"/>
                <w:szCs w:val="18"/>
              </w:rPr>
            </w:pPr>
            <w:r>
              <w:rPr>
                <w:sz w:val="20"/>
                <w:szCs w:val="18"/>
              </w:rPr>
              <w:t>Good</w:t>
            </w:r>
          </w:p>
        </w:tc>
        <w:tc>
          <w:tcPr>
            <w:tcW w:w="3217" w:type="dxa"/>
            <w:tcBorders>
              <w:top w:val="nil"/>
              <w:bottom w:val="nil"/>
            </w:tcBorders>
            <w:vAlign w:val="center"/>
          </w:tcPr>
          <w:p w14:paraId="239C2941" w14:textId="77777777" w:rsidR="00B11C96" w:rsidRPr="00A51F09" w:rsidRDefault="00B11C96" w:rsidP="00F75387">
            <w:pPr>
              <w:jc w:val="center"/>
              <w:rPr>
                <w:sz w:val="20"/>
                <w:szCs w:val="18"/>
                <w:lang w:val="id-ID"/>
              </w:rPr>
            </w:pPr>
            <w:r w:rsidRPr="00A51F09">
              <w:rPr>
                <w:sz w:val="20"/>
                <w:szCs w:val="18"/>
                <w:lang w:val="id-ID"/>
              </w:rPr>
              <w:t>pH 4</w:t>
            </w:r>
            <w:r w:rsidRPr="00A51F09">
              <w:rPr>
                <w:sz w:val="20"/>
                <w:szCs w:val="18"/>
              </w:rPr>
              <w:t>.</w:t>
            </w:r>
            <w:r w:rsidRPr="00A51F09">
              <w:rPr>
                <w:sz w:val="20"/>
                <w:szCs w:val="18"/>
                <w:lang w:val="id-ID"/>
              </w:rPr>
              <w:t>2-4</w:t>
            </w:r>
            <w:r w:rsidRPr="00A51F09">
              <w:rPr>
                <w:sz w:val="20"/>
                <w:szCs w:val="18"/>
              </w:rPr>
              <w:t>.</w:t>
            </w:r>
            <w:r w:rsidRPr="00A51F09">
              <w:rPr>
                <w:sz w:val="20"/>
                <w:szCs w:val="18"/>
                <w:lang w:val="id-ID"/>
              </w:rPr>
              <w:t>5</w:t>
            </w:r>
          </w:p>
        </w:tc>
      </w:tr>
      <w:tr w:rsidR="00B11C96" w:rsidRPr="00A51F09" w14:paraId="5A64E3B5" w14:textId="77777777" w:rsidTr="00F75387">
        <w:trPr>
          <w:jc w:val="center"/>
        </w:trPr>
        <w:tc>
          <w:tcPr>
            <w:tcW w:w="3218" w:type="dxa"/>
            <w:tcBorders>
              <w:top w:val="nil"/>
              <w:bottom w:val="nil"/>
            </w:tcBorders>
            <w:vAlign w:val="center"/>
          </w:tcPr>
          <w:p w14:paraId="1FBBAC90" w14:textId="7825057F" w:rsidR="00B11C96" w:rsidRPr="009704D8" w:rsidRDefault="009704D8" w:rsidP="00F75387">
            <w:pPr>
              <w:jc w:val="center"/>
              <w:rPr>
                <w:sz w:val="20"/>
                <w:szCs w:val="18"/>
              </w:rPr>
            </w:pPr>
            <w:r>
              <w:rPr>
                <w:sz w:val="20"/>
                <w:szCs w:val="18"/>
              </w:rPr>
              <w:t>Average</w:t>
            </w:r>
          </w:p>
        </w:tc>
        <w:tc>
          <w:tcPr>
            <w:tcW w:w="3217" w:type="dxa"/>
            <w:tcBorders>
              <w:top w:val="nil"/>
              <w:bottom w:val="nil"/>
            </w:tcBorders>
            <w:vAlign w:val="center"/>
          </w:tcPr>
          <w:p w14:paraId="7DD7C9C7" w14:textId="77777777" w:rsidR="00B11C96" w:rsidRPr="00A51F09" w:rsidRDefault="00B11C96" w:rsidP="00F75387">
            <w:pPr>
              <w:jc w:val="center"/>
              <w:rPr>
                <w:sz w:val="20"/>
                <w:szCs w:val="18"/>
                <w:lang w:val="id-ID"/>
              </w:rPr>
            </w:pPr>
            <w:r w:rsidRPr="00A51F09">
              <w:rPr>
                <w:sz w:val="20"/>
                <w:szCs w:val="18"/>
                <w:lang w:val="id-ID"/>
              </w:rPr>
              <w:t>pH 4</w:t>
            </w:r>
            <w:r w:rsidRPr="00A51F09">
              <w:rPr>
                <w:sz w:val="20"/>
                <w:szCs w:val="18"/>
              </w:rPr>
              <w:t>.</w:t>
            </w:r>
            <w:r w:rsidRPr="00A51F09">
              <w:rPr>
                <w:sz w:val="20"/>
                <w:szCs w:val="18"/>
                <w:lang w:val="id-ID"/>
              </w:rPr>
              <w:t>5-4</w:t>
            </w:r>
            <w:r w:rsidRPr="00A51F09">
              <w:rPr>
                <w:sz w:val="20"/>
                <w:szCs w:val="18"/>
              </w:rPr>
              <w:t>.</w:t>
            </w:r>
            <w:r w:rsidRPr="00A51F09">
              <w:rPr>
                <w:sz w:val="20"/>
                <w:szCs w:val="18"/>
                <w:lang w:val="id-ID"/>
              </w:rPr>
              <w:t>8</w:t>
            </w:r>
          </w:p>
        </w:tc>
      </w:tr>
      <w:tr w:rsidR="00B11C96" w:rsidRPr="00A51F09" w14:paraId="6A518E0F" w14:textId="77777777" w:rsidTr="00F75387">
        <w:trPr>
          <w:jc w:val="center"/>
        </w:trPr>
        <w:tc>
          <w:tcPr>
            <w:tcW w:w="3218" w:type="dxa"/>
            <w:tcBorders>
              <w:top w:val="nil"/>
            </w:tcBorders>
            <w:vAlign w:val="center"/>
          </w:tcPr>
          <w:p w14:paraId="6B807FE0" w14:textId="55C343DB" w:rsidR="00B11C96" w:rsidRPr="009704D8" w:rsidRDefault="009704D8" w:rsidP="00F75387">
            <w:pPr>
              <w:jc w:val="center"/>
              <w:rPr>
                <w:sz w:val="20"/>
                <w:szCs w:val="18"/>
              </w:rPr>
            </w:pPr>
            <w:r>
              <w:rPr>
                <w:sz w:val="20"/>
                <w:szCs w:val="18"/>
              </w:rPr>
              <w:t>Bad</w:t>
            </w:r>
          </w:p>
        </w:tc>
        <w:tc>
          <w:tcPr>
            <w:tcW w:w="3217" w:type="dxa"/>
            <w:tcBorders>
              <w:top w:val="nil"/>
            </w:tcBorders>
            <w:vAlign w:val="center"/>
          </w:tcPr>
          <w:p w14:paraId="3BB6AE82" w14:textId="77777777" w:rsidR="00B11C96" w:rsidRPr="00A51F09" w:rsidRDefault="00B11C96" w:rsidP="00F75387">
            <w:pPr>
              <w:jc w:val="center"/>
              <w:rPr>
                <w:sz w:val="20"/>
                <w:szCs w:val="18"/>
                <w:lang w:val="id-ID"/>
              </w:rPr>
            </w:pPr>
            <w:r w:rsidRPr="00A51F09">
              <w:rPr>
                <w:sz w:val="20"/>
                <w:szCs w:val="18"/>
                <w:lang w:val="id-ID"/>
              </w:rPr>
              <w:t>pH&gt;4</w:t>
            </w:r>
            <w:r w:rsidRPr="00A51F09">
              <w:rPr>
                <w:sz w:val="20"/>
                <w:szCs w:val="18"/>
              </w:rPr>
              <w:t>.</w:t>
            </w:r>
            <w:r w:rsidRPr="00A51F09">
              <w:rPr>
                <w:sz w:val="20"/>
                <w:szCs w:val="18"/>
                <w:lang w:val="id-ID"/>
              </w:rPr>
              <w:t>8</w:t>
            </w:r>
          </w:p>
        </w:tc>
      </w:tr>
    </w:tbl>
    <w:p w14:paraId="029BE86B" w14:textId="100C27CA" w:rsidR="00CC1794" w:rsidRDefault="00B11C96" w:rsidP="00B63F32">
      <w:pPr>
        <w:jc w:val="center"/>
      </w:pPr>
      <w:r w:rsidRPr="00A51F09">
        <w:fldChar w:fldCharType="begin" w:fldLock="1"/>
      </w:r>
      <w:r w:rsidRPr="00A51F09">
        <w:instrText>ADDIN CSL_CITATION {"citationItems":[{"id":"ITEM-1","itemData":{"abstract":"Cabbage waste has the potential to be used as an alternative feed for livestock if the feed is processed sustainably. This study aims to analyze the determine the best level of use of rice bran in making cabbage waste silage seen from physical properties, pH and dry matter content of silage. This study used a completely randomized design with 4 treatments and 4 replications. The treatments were A0 (cabbage waste 100%), A1 (cabbage waste 75% + rice bran 25%), A2 (cabbage waste 50% + rice bran 50%), A3 (cabbage waste 25% + rice bran 75%). The parameters measured includepH,odor, color, texture, presence of mushrooms and dry matter content.The results showed that the substitution of various levels of rice bran on cabbage waste had no significant effect (P&gt; 0.05) on the pH, color, texture and presence of mushrooms, had a significant effect (P &lt;0.05) increased the aroma value, and had a very significant effect (P &lt;0.01) increased the dry matter content of the silage. The best treatment in this study is A3 (cabbage waste 25%, rice bran 75%) because it can increase the odor and dry matter content.","author":[{"dropping-particle":"","family":"Rusdi","given":"Muhammad","non-dropping-particle":"","parse-names":false,"suffix":""},{"dropping-particle":"","family":"Efendi Harahap","given":"Anwar","non-dropping-particle":"","parse-names":false,"suffix":""},{"dropping-particle":"","family":"Elfawati Program Studi Peternakan Fakultas Pertanian dan Peternakan","given":"dan","non-dropping-particle":"","parse-names":false,"suffix":""},{"dropping-particle":"","family":"Sultan Syarif Kasim Riau Jl Soebrantas No","given":"Uin HR","non-dropping-particle":"","parse-names":false,"suffix":""},{"dropping-particle":"","family":"Tampan Pekanbaru","given":"Tuahmadani","non-dropping-particle":"","parse-names":false,"suffix":""}],"container-title":"Jambura Journal of Animal Science","id":"ITEM-1","issue":"1","issued":{"date-parts":[["2021"]]},"page":"14-23","title":"pH, BAHAN KERING DAN SIFAT FISIK SILASE LIMBAH KOL DENGAN PENAMBAHAN LEVEL DEDAK PADI pH, Dry Matter and Physical Properties of Cabbage Waste Silage with Additions of Bran Levels","type":"article-journal","volume":"4"},"uris":["http://www.mendeley.com/documents/?uuid=9ad06f77-50b0-3311-a2f7-5032ea68e272"]}],"mendeley":{"formattedCitation":"(Rusdi et al., 2021)","plainTextFormattedCitation":"(Rusdi et al., 2021)","previouslyFormattedCitation":"(Rusdi et al., 2021)"},"properties":{"noteIndex":0},"schema":"https://github.com/citation-style-language/schema/raw/master/csl-citation.json"}</w:instrText>
      </w:r>
      <w:r w:rsidRPr="00A51F09">
        <w:fldChar w:fldCharType="separate"/>
      </w:r>
      <w:r w:rsidRPr="00A51F09">
        <w:t xml:space="preserve">(Rusdi </w:t>
      </w:r>
      <w:r w:rsidRPr="00F37D33">
        <w:rPr>
          <w:i/>
          <w:iCs/>
        </w:rPr>
        <w:t>et al</w:t>
      </w:r>
      <w:r w:rsidRPr="00CB5660">
        <w:t>.</w:t>
      </w:r>
      <w:r w:rsidRPr="00A51F09">
        <w:t xml:space="preserve"> 2021)</w:t>
      </w:r>
      <w:r w:rsidRPr="00A51F09">
        <w:fldChar w:fldCharType="end"/>
      </w:r>
    </w:p>
    <w:p w14:paraId="74A578B7" w14:textId="77777777" w:rsidR="00CC1794" w:rsidRDefault="00CC1794" w:rsidP="008638E6">
      <w:pPr>
        <w:ind w:left="900" w:hanging="900"/>
      </w:pPr>
    </w:p>
    <w:p w14:paraId="40C47BBB" w14:textId="22669901" w:rsidR="00CC1794" w:rsidRPr="00A51F09" w:rsidRDefault="009704D8" w:rsidP="00CC1794">
      <w:r>
        <w:rPr>
          <w:b/>
          <w:bCs/>
        </w:rPr>
        <w:t>Table</w:t>
      </w:r>
      <w:r w:rsidR="00CC1794" w:rsidRPr="00A51F09">
        <w:rPr>
          <w:b/>
          <w:bCs/>
        </w:rPr>
        <w:t xml:space="preserve"> 2. </w:t>
      </w:r>
      <w:r w:rsidRPr="009704D8">
        <w:t>Scoring for Determining the Physical Quality of Silage</w:t>
      </w:r>
    </w:p>
    <w:tbl>
      <w:tblPr>
        <w:tblStyle w:val="PlainTable2"/>
        <w:tblW w:w="7927" w:type="dxa"/>
        <w:tblLayout w:type="fixed"/>
        <w:tblLook w:val="04A0" w:firstRow="1" w:lastRow="0" w:firstColumn="1" w:lastColumn="0" w:noHBand="0" w:noVBand="1"/>
      </w:tblPr>
      <w:tblGrid>
        <w:gridCol w:w="1980"/>
        <w:gridCol w:w="5947"/>
      </w:tblGrid>
      <w:tr w:rsidR="00CC1794" w:rsidRPr="00A51F09" w14:paraId="5B584AFF" w14:textId="77777777" w:rsidTr="00F753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CB97EA" w14:textId="4D2F141F" w:rsidR="00CC1794" w:rsidRPr="009704D8" w:rsidRDefault="009704D8" w:rsidP="00F75387">
            <w:pPr>
              <w:jc w:val="center"/>
              <w:rPr>
                <w:sz w:val="20"/>
                <w:szCs w:val="18"/>
              </w:rPr>
            </w:pPr>
            <w:r>
              <w:rPr>
                <w:sz w:val="20"/>
                <w:szCs w:val="18"/>
              </w:rPr>
              <w:t>Physical Quality</w:t>
            </w:r>
          </w:p>
        </w:tc>
        <w:tc>
          <w:tcPr>
            <w:tcW w:w="5947" w:type="dxa"/>
          </w:tcPr>
          <w:p w14:paraId="398FC3D3" w14:textId="577873D5" w:rsidR="00CC1794" w:rsidRPr="004433A8" w:rsidRDefault="004433A8" w:rsidP="00F75387">
            <w:pPr>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Score</w:t>
            </w:r>
          </w:p>
        </w:tc>
      </w:tr>
      <w:tr w:rsidR="00CC1794" w:rsidRPr="00A51F09" w14:paraId="33A22249" w14:textId="77777777" w:rsidTr="00F75387">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980" w:type="dxa"/>
          </w:tcPr>
          <w:p w14:paraId="6541EE34" w14:textId="13BF7B30" w:rsidR="00CC1794" w:rsidRPr="004433A8" w:rsidRDefault="004433A8" w:rsidP="00F75387">
            <w:pPr>
              <w:rPr>
                <w:sz w:val="20"/>
                <w:szCs w:val="18"/>
              </w:rPr>
            </w:pPr>
            <w:r>
              <w:rPr>
                <w:sz w:val="20"/>
                <w:szCs w:val="18"/>
              </w:rPr>
              <w:t>Color</w:t>
            </w:r>
          </w:p>
        </w:tc>
        <w:tc>
          <w:tcPr>
            <w:tcW w:w="5947" w:type="dxa"/>
          </w:tcPr>
          <w:p w14:paraId="43F86CE5" w14:textId="3E379773" w:rsidR="00CC1794" w:rsidRPr="00A51F09" w:rsidRDefault="004433A8" w:rsidP="00F75387">
            <w:pPr>
              <w:numPr>
                <w:ilvl w:val="0"/>
                <w:numId w:val="1"/>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No green color, brown to black</w:t>
            </w:r>
            <w:r w:rsidR="00CC1794" w:rsidRPr="00A51F09">
              <w:rPr>
                <w:sz w:val="20"/>
                <w:szCs w:val="18"/>
                <w:lang w:val="id-ID"/>
              </w:rPr>
              <w:t>Kuning kecoklatan</w:t>
            </w:r>
          </w:p>
          <w:p w14:paraId="2F1579F5" w14:textId="77777777" w:rsidR="004433A8" w:rsidRDefault="004433A8" w:rsidP="00F75387">
            <w:pPr>
              <w:numPr>
                <w:ilvl w:val="0"/>
                <w:numId w:val="1"/>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Dark green, yellowish green</w:t>
            </w:r>
          </w:p>
          <w:p w14:paraId="562A6644" w14:textId="59445FA1" w:rsidR="00CC1794" w:rsidRPr="00A51F09" w:rsidRDefault="00CC1794" w:rsidP="00F75387">
            <w:pPr>
              <w:numPr>
                <w:ilvl w:val="0"/>
                <w:numId w:val="1"/>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A51F09">
              <w:rPr>
                <w:sz w:val="20"/>
                <w:szCs w:val="18"/>
                <w:lang w:val="id-ID"/>
              </w:rPr>
              <w:t>Hijau alami, atau hijau seperti daun direbus</w:t>
            </w:r>
          </w:p>
        </w:tc>
      </w:tr>
      <w:tr w:rsidR="00CC1794" w:rsidRPr="00A51F09" w14:paraId="72A54219" w14:textId="77777777" w:rsidTr="00F75387">
        <w:trPr>
          <w:trHeight w:val="274"/>
        </w:trPr>
        <w:tc>
          <w:tcPr>
            <w:cnfStyle w:val="001000000000" w:firstRow="0" w:lastRow="0" w:firstColumn="1" w:lastColumn="0" w:oddVBand="0" w:evenVBand="0" w:oddHBand="0" w:evenHBand="0" w:firstRowFirstColumn="0" w:firstRowLastColumn="0" w:lastRowFirstColumn="0" w:lastRowLastColumn="0"/>
            <w:tcW w:w="1980" w:type="dxa"/>
          </w:tcPr>
          <w:p w14:paraId="6E0A0D5A" w14:textId="77777777" w:rsidR="00CC1794" w:rsidRPr="00A51F09" w:rsidRDefault="00CC1794" w:rsidP="00F75387">
            <w:pPr>
              <w:rPr>
                <w:sz w:val="20"/>
                <w:szCs w:val="18"/>
                <w:lang w:val="id-ID"/>
              </w:rPr>
            </w:pPr>
            <w:r w:rsidRPr="00A51F09">
              <w:rPr>
                <w:sz w:val="20"/>
                <w:szCs w:val="18"/>
                <w:lang w:val="id-ID"/>
              </w:rPr>
              <w:t>Aroma</w:t>
            </w:r>
          </w:p>
        </w:tc>
        <w:tc>
          <w:tcPr>
            <w:tcW w:w="5947" w:type="dxa"/>
          </w:tcPr>
          <w:p w14:paraId="28CDE8B9" w14:textId="77777777" w:rsidR="004433A8" w:rsidRDefault="004433A8" w:rsidP="00F75387">
            <w:pPr>
              <w:numPr>
                <w:ilvl w:val="0"/>
                <w:numId w:val="2"/>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4433A8">
              <w:rPr>
                <w:sz w:val="20"/>
                <w:szCs w:val="18"/>
                <w:lang w:val="id-ID"/>
              </w:rPr>
              <w:t xml:space="preserve">Natural green, or green like boiled leaves </w:t>
            </w:r>
          </w:p>
          <w:p w14:paraId="1E3957E6" w14:textId="77777777" w:rsidR="004433A8" w:rsidRDefault="004433A8" w:rsidP="00F75387">
            <w:pPr>
              <w:numPr>
                <w:ilvl w:val="0"/>
                <w:numId w:val="2"/>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4433A8">
              <w:rPr>
                <w:sz w:val="20"/>
                <w:szCs w:val="18"/>
                <w:lang w:val="id-ID"/>
              </w:rPr>
              <w:t>Stimulating odor (ammonia or butyric acid)</w:t>
            </w:r>
          </w:p>
          <w:p w14:paraId="7C983855" w14:textId="43AAA6D8" w:rsidR="004433A8" w:rsidRDefault="004433A8" w:rsidP="00F75387">
            <w:pPr>
              <w:numPr>
                <w:ilvl w:val="0"/>
                <w:numId w:val="2"/>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4433A8">
              <w:rPr>
                <w:sz w:val="20"/>
                <w:szCs w:val="18"/>
                <w:lang w:val="id-ID"/>
              </w:rPr>
              <w:t>Medium, sweet, slightly sour smell</w:t>
            </w:r>
          </w:p>
          <w:p w14:paraId="6021256A" w14:textId="437CA3E7" w:rsidR="00CC1794" w:rsidRPr="00A51F09" w:rsidRDefault="004433A8" w:rsidP="00F75387">
            <w:pPr>
              <w:numPr>
                <w:ilvl w:val="0"/>
                <w:numId w:val="2"/>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4433A8">
              <w:rPr>
                <w:sz w:val="20"/>
                <w:szCs w:val="18"/>
                <w:lang w:val="id-ID"/>
              </w:rPr>
              <w:t>Fragrant smell of acidity</w:t>
            </w:r>
          </w:p>
        </w:tc>
      </w:tr>
      <w:tr w:rsidR="00CC1794" w:rsidRPr="00A51F09" w14:paraId="421E8817" w14:textId="77777777" w:rsidTr="00F75387">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1980" w:type="dxa"/>
          </w:tcPr>
          <w:p w14:paraId="48E5BD2E" w14:textId="326FB6E8" w:rsidR="00CC1794" w:rsidRPr="004433A8" w:rsidRDefault="004433A8" w:rsidP="00F75387">
            <w:pPr>
              <w:rPr>
                <w:sz w:val="20"/>
                <w:szCs w:val="18"/>
              </w:rPr>
            </w:pPr>
            <w:r>
              <w:rPr>
                <w:sz w:val="20"/>
                <w:szCs w:val="18"/>
              </w:rPr>
              <w:t>Texture</w:t>
            </w:r>
          </w:p>
        </w:tc>
        <w:tc>
          <w:tcPr>
            <w:tcW w:w="5947" w:type="dxa"/>
          </w:tcPr>
          <w:p w14:paraId="557204CA" w14:textId="77777777" w:rsidR="004433A8" w:rsidRDefault="004433A8" w:rsidP="00F75387">
            <w:pPr>
              <w:numPr>
                <w:ilvl w:val="0"/>
                <w:numId w:val="3"/>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Soft, peeling, slimy</w:t>
            </w:r>
          </w:p>
          <w:p w14:paraId="0E61FFBB" w14:textId="77777777" w:rsidR="004433A8" w:rsidRDefault="004433A8" w:rsidP="00F75387">
            <w:pPr>
              <w:numPr>
                <w:ilvl w:val="0"/>
                <w:numId w:val="3"/>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A bit soft, a bit slimy</w:t>
            </w:r>
          </w:p>
          <w:p w14:paraId="765F8CE3" w14:textId="77777777" w:rsidR="004433A8" w:rsidRDefault="004433A8" w:rsidP="00F75387">
            <w:pPr>
              <w:numPr>
                <w:ilvl w:val="0"/>
                <w:numId w:val="3"/>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Slightly hard, not slimy</w:t>
            </w:r>
          </w:p>
          <w:p w14:paraId="130501B0" w14:textId="4585DF08" w:rsidR="00CC1794" w:rsidRPr="00A51F09" w:rsidRDefault="004433A8" w:rsidP="00F75387">
            <w:pPr>
              <w:numPr>
                <w:ilvl w:val="0"/>
                <w:numId w:val="3"/>
              </w:numPr>
              <w:cnfStyle w:val="000000100000" w:firstRow="0" w:lastRow="0" w:firstColumn="0" w:lastColumn="0" w:oddVBand="0" w:evenVBand="0" w:oddHBand="1" w:evenHBand="0" w:firstRowFirstColumn="0" w:firstRowLastColumn="0" w:lastRowFirstColumn="0" w:lastRowLastColumn="0"/>
              <w:rPr>
                <w:sz w:val="20"/>
                <w:szCs w:val="18"/>
                <w:lang w:val="id-ID"/>
              </w:rPr>
            </w:pPr>
            <w:r w:rsidRPr="004433A8">
              <w:rPr>
                <w:sz w:val="20"/>
                <w:szCs w:val="18"/>
                <w:lang w:val="id-ID"/>
              </w:rPr>
              <w:t>Like fresh forage, hard/not soft, not slimy</w:t>
            </w:r>
          </w:p>
        </w:tc>
      </w:tr>
      <w:tr w:rsidR="00CC1794" w:rsidRPr="00A51F09" w14:paraId="28D15368" w14:textId="77777777" w:rsidTr="00F75387">
        <w:tc>
          <w:tcPr>
            <w:cnfStyle w:val="001000000000" w:firstRow="0" w:lastRow="0" w:firstColumn="1" w:lastColumn="0" w:oddVBand="0" w:evenVBand="0" w:oddHBand="0" w:evenHBand="0" w:firstRowFirstColumn="0" w:firstRowLastColumn="0" w:lastRowFirstColumn="0" w:lastRowLastColumn="0"/>
            <w:tcW w:w="1980" w:type="dxa"/>
          </w:tcPr>
          <w:p w14:paraId="2857BB50" w14:textId="2B1966FA" w:rsidR="00CC1794" w:rsidRPr="004433A8" w:rsidRDefault="004433A8" w:rsidP="00F75387">
            <w:pPr>
              <w:rPr>
                <w:sz w:val="20"/>
                <w:szCs w:val="18"/>
              </w:rPr>
            </w:pPr>
            <w:r>
              <w:rPr>
                <w:sz w:val="20"/>
                <w:szCs w:val="18"/>
              </w:rPr>
              <w:t>Fungi Existence</w:t>
            </w:r>
          </w:p>
        </w:tc>
        <w:tc>
          <w:tcPr>
            <w:tcW w:w="5947" w:type="dxa"/>
          </w:tcPr>
          <w:p w14:paraId="48B9C78D" w14:textId="5C44E4CB" w:rsidR="00CC1794" w:rsidRPr="004433A8" w:rsidRDefault="004433A8" w:rsidP="004433A8">
            <w:pPr>
              <w:ind w:left="360"/>
              <w:cnfStyle w:val="000000000000" w:firstRow="0" w:lastRow="0" w:firstColumn="0" w:lastColumn="0" w:oddVBand="0" w:evenVBand="0" w:oddHBand="0" w:evenHBand="0" w:firstRowFirstColumn="0" w:firstRowLastColumn="0" w:lastRowFirstColumn="0" w:lastRowLastColumn="0"/>
              <w:rPr>
                <w:sz w:val="20"/>
                <w:szCs w:val="18"/>
                <w:lang w:val="id-ID"/>
              </w:rPr>
            </w:pPr>
            <w:r>
              <w:rPr>
                <w:sz w:val="20"/>
                <w:szCs w:val="18"/>
              </w:rPr>
              <w:t xml:space="preserve">1.    </w:t>
            </w:r>
            <w:r w:rsidR="008B1E1E" w:rsidRPr="008B1E1E">
              <w:rPr>
                <w:sz w:val="20"/>
                <w:szCs w:val="18"/>
                <w:lang w:val="id-ID"/>
              </w:rPr>
              <w:t>Many (&gt; 60%)</w:t>
            </w:r>
          </w:p>
          <w:p w14:paraId="1EA3CFB9" w14:textId="77777777" w:rsidR="008B1E1E" w:rsidRDefault="008B1E1E" w:rsidP="00F75387">
            <w:pPr>
              <w:numPr>
                <w:ilvl w:val="0"/>
                <w:numId w:val="4"/>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8B1E1E">
              <w:rPr>
                <w:sz w:val="20"/>
                <w:szCs w:val="18"/>
                <w:lang w:val="id-ID"/>
              </w:rPr>
              <w:t>Medium (30 – 60%)</w:t>
            </w:r>
          </w:p>
          <w:p w14:paraId="07715655" w14:textId="77777777" w:rsidR="008B1E1E" w:rsidRDefault="008B1E1E" w:rsidP="00F75387">
            <w:pPr>
              <w:numPr>
                <w:ilvl w:val="0"/>
                <w:numId w:val="4"/>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8B1E1E">
              <w:rPr>
                <w:sz w:val="20"/>
                <w:szCs w:val="18"/>
                <w:lang w:val="id-ID"/>
              </w:rPr>
              <w:lastRenderedPageBreak/>
              <w:t>Little (10 – 30%)</w:t>
            </w:r>
          </w:p>
          <w:p w14:paraId="1E5E7593" w14:textId="52751374" w:rsidR="00CC1794" w:rsidRPr="00A51F09" w:rsidRDefault="008B1E1E" w:rsidP="00F75387">
            <w:pPr>
              <w:numPr>
                <w:ilvl w:val="0"/>
                <w:numId w:val="4"/>
              </w:numPr>
              <w:cnfStyle w:val="000000000000" w:firstRow="0" w:lastRow="0" w:firstColumn="0" w:lastColumn="0" w:oddVBand="0" w:evenVBand="0" w:oddHBand="0" w:evenHBand="0" w:firstRowFirstColumn="0" w:firstRowLastColumn="0" w:lastRowFirstColumn="0" w:lastRowLastColumn="0"/>
              <w:rPr>
                <w:sz w:val="20"/>
                <w:szCs w:val="18"/>
                <w:lang w:val="id-ID"/>
              </w:rPr>
            </w:pPr>
            <w:r w:rsidRPr="008B1E1E">
              <w:rPr>
                <w:sz w:val="20"/>
                <w:szCs w:val="18"/>
                <w:lang w:val="id-ID"/>
              </w:rPr>
              <w:t>No mold or free from mold</w:t>
            </w:r>
          </w:p>
        </w:tc>
      </w:tr>
    </w:tbl>
    <w:p w14:paraId="49AF8972" w14:textId="77777777" w:rsidR="00874A71" w:rsidRDefault="00874A71" w:rsidP="008638E6">
      <w:pPr>
        <w:ind w:left="900" w:hanging="900"/>
      </w:pPr>
    </w:p>
    <w:p w14:paraId="5E2D6B8D" w14:textId="7DEF57FF" w:rsidR="00CC1794" w:rsidRPr="00BB3B7F" w:rsidRDefault="008B1E1E" w:rsidP="00CC1794">
      <w:r>
        <w:rPr>
          <w:b/>
          <w:bCs/>
        </w:rPr>
        <w:t>Table</w:t>
      </w:r>
      <w:r w:rsidR="00CC1794" w:rsidRPr="00BB3B7F">
        <w:rPr>
          <w:b/>
          <w:bCs/>
        </w:rPr>
        <w:t xml:space="preserve"> 3. </w:t>
      </w:r>
      <w:r w:rsidRPr="008B1E1E">
        <w:t>Average pH Value</w:t>
      </w:r>
    </w:p>
    <w:tbl>
      <w:tblPr>
        <w:tblStyle w:val="TableGrid"/>
        <w:tblW w:w="0" w:type="auto"/>
        <w:tblBorders>
          <w:insideV w:val="none" w:sz="0" w:space="0" w:color="auto"/>
        </w:tblBorders>
        <w:tblLook w:val="04A0" w:firstRow="1" w:lastRow="0" w:firstColumn="1" w:lastColumn="0" w:noHBand="0" w:noVBand="1"/>
      </w:tblPr>
      <w:tblGrid>
        <w:gridCol w:w="2038"/>
        <w:gridCol w:w="2038"/>
        <w:gridCol w:w="2038"/>
        <w:gridCol w:w="2039"/>
      </w:tblGrid>
      <w:tr w:rsidR="00CC1794" w:rsidRPr="00BB3B7F" w14:paraId="4E94FE7F" w14:textId="77777777" w:rsidTr="00F75387">
        <w:tc>
          <w:tcPr>
            <w:tcW w:w="2038" w:type="dxa"/>
            <w:vMerge w:val="restart"/>
            <w:tcBorders>
              <w:left w:val="nil"/>
            </w:tcBorders>
            <w:vAlign w:val="center"/>
          </w:tcPr>
          <w:p w14:paraId="0F83D7F8" w14:textId="6C61A58B" w:rsidR="00CC1794" w:rsidRPr="00BB3B7F" w:rsidRDefault="008B1E1E" w:rsidP="00F75387">
            <w:pPr>
              <w:jc w:val="center"/>
              <w:rPr>
                <w:sz w:val="20"/>
                <w:szCs w:val="18"/>
              </w:rPr>
            </w:pPr>
            <w:r>
              <w:rPr>
                <w:sz w:val="20"/>
                <w:szCs w:val="18"/>
              </w:rPr>
              <w:t>Treatment</w:t>
            </w:r>
          </w:p>
        </w:tc>
        <w:tc>
          <w:tcPr>
            <w:tcW w:w="6115" w:type="dxa"/>
            <w:gridSpan w:val="3"/>
            <w:tcBorders>
              <w:right w:val="nil"/>
            </w:tcBorders>
            <w:vAlign w:val="center"/>
          </w:tcPr>
          <w:p w14:paraId="5000ED1B" w14:textId="42B48570" w:rsidR="00CC1794" w:rsidRPr="008B1E1E" w:rsidRDefault="008B1E1E" w:rsidP="00F75387">
            <w:pPr>
              <w:jc w:val="center"/>
              <w:rPr>
                <w:sz w:val="20"/>
                <w:szCs w:val="18"/>
              </w:rPr>
            </w:pPr>
            <w:r>
              <w:rPr>
                <w:sz w:val="20"/>
                <w:szCs w:val="18"/>
              </w:rPr>
              <w:t>Average Value</w:t>
            </w:r>
          </w:p>
        </w:tc>
      </w:tr>
      <w:tr w:rsidR="00CC1794" w:rsidRPr="00BB3B7F" w14:paraId="325516DF" w14:textId="77777777" w:rsidTr="00F75387">
        <w:tc>
          <w:tcPr>
            <w:tcW w:w="2038" w:type="dxa"/>
            <w:vMerge/>
            <w:tcBorders>
              <w:left w:val="nil"/>
              <w:bottom w:val="single" w:sz="4" w:space="0" w:color="auto"/>
            </w:tcBorders>
            <w:vAlign w:val="center"/>
          </w:tcPr>
          <w:p w14:paraId="44F4383C" w14:textId="77777777" w:rsidR="00CC1794" w:rsidRPr="00BB3B7F" w:rsidRDefault="00CC1794" w:rsidP="00F75387">
            <w:pPr>
              <w:jc w:val="center"/>
              <w:rPr>
                <w:sz w:val="20"/>
                <w:szCs w:val="18"/>
                <w:lang w:val="id-ID"/>
              </w:rPr>
            </w:pPr>
          </w:p>
        </w:tc>
        <w:tc>
          <w:tcPr>
            <w:tcW w:w="2038" w:type="dxa"/>
            <w:tcBorders>
              <w:bottom w:val="single" w:sz="4" w:space="0" w:color="auto"/>
            </w:tcBorders>
            <w:vAlign w:val="center"/>
          </w:tcPr>
          <w:p w14:paraId="681E376D" w14:textId="13C63569" w:rsidR="00CC1794" w:rsidRPr="00BB3B7F" w:rsidRDefault="008B1E1E" w:rsidP="00F75387">
            <w:pPr>
              <w:jc w:val="center"/>
              <w:rPr>
                <w:sz w:val="20"/>
                <w:szCs w:val="18"/>
              </w:rPr>
            </w:pPr>
            <w:r>
              <w:rPr>
                <w:sz w:val="20"/>
                <w:szCs w:val="18"/>
              </w:rPr>
              <w:t>Control</w:t>
            </w:r>
          </w:p>
        </w:tc>
        <w:tc>
          <w:tcPr>
            <w:tcW w:w="2038" w:type="dxa"/>
            <w:tcBorders>
              <w:bottom w:val="single" w:sz="4" w:space="0" w:color="auto"/>
            </w:tcBorders>
            <w:vAlign w:val="center"/>
          </w:tcPr>
          <w:p w14:paraId="6A41446F" w14:textId="665B4F8E" w:rsidR="00CC1794" w:rsidRPr="00BB3B7F" w:rsidRDefault="00E00DF5" w:rsidP="00F75387">
            <w:pPr>
              <w:jc w:val="center"/>
              <w:rPr>
                <w:sz w:val="20"/>
                <w:szCs w:val="18"/>
              </w:rPr>
            </w:pPr>
            <w:r>
              <w:rPr>
                <w:sz w:val="20"/>
                <w:szCs w:val="18"/>
              </w:rPr>
              <w:t xml:space="preserve">Probiotic starter with rice bran </w:t>
            </w:r>
          </w:p>
        </w:tc>
        <w:tc>
          <w:tcPr>
            <w:tcW w:w="2039" w:type="dxa"/>
            <w:tcBorders>
              <w:bottom w:val="single" w:sz="4" w:space="0" w:color="auto"/>
              <w:right w:val="nil"/>
            </w:tcBorders>
            <w:vAlign w:val="center"/>
          </w:tcPr>
          <w:p w14:paraId="64EB4F7B" w14:textId="119F4504" w:rsidR="00CC1794" w:rsidRPr="00BB3B7F" w:rsidRDefault="00E00DF5" w:rsidP="00F75387">
            <w:pPr>
              <w:jc w:val="center"/>
              <w:rPr>
                <w:sz w:val="20"/>
                <w:szCs w:val="18"/>
              </w:rPr>
            </w:pPr>
            <w:r>
              <w:rPr>
                <w:sz w:val="20"/>
                <w:szCs w:val="18"/>
              </w:rPr>
              <w:t>Probiotic starter with heriyaki powder</w:t>
            </w:r>
          </w:p>
        </w:tc>
      </w:tr>
      <w:tr w:rsidR="00CC1794" w:rsidRPr="00BB3B7F" w14:paraId="13A09CEA" w14:textId="77777777" w:rsidTr="00F75387">
        <w:tc>
          <w:tcPr>
            <w:tcW w:w="2038" w:type="dxa"/>
            <w:tcBorders>
              <w:left w:val="nil"/>
              <w:bottom w:val="nil"/>
            </w:tcBorders>
            <w:vAlign w:val="center"/>
          </w:tcPr>
          <w:p w14:paraId="055B4627" w14:textId="1883AA44" w:rsidR="00CC1794" w:rsidRPr="00BB3B7F" w:rsidRDefault="008B1E1E" w:rsidP="00F75387">
            <w:pPr>
              <w:rPr>
                <w:sz w:val="20"/>
                <w:szCs w:val="18"/>
              </w:rPr>
            </w:pPr>
            <w:r>
              <w:rPr>
                <w:sz w:val="20"/>
                <w:szCs w:val="18"/>
              </w:rPr>
              <w:t>14 Days Fermentation</w:t>
            </w:r>
          </w:p>
        </w:tc>
        <w:tc>
          <w:tcPr>
            <w:tcW w:w="2038" w:type="dxa"/>
            <w:tcBorders>
              <w:bottom w:val="nil"/>
            </w:tcBorders>
            <w:vAlign w:val="center"/>
          </w:tcPr>
          <w:p w14:paraId="199EF12E" w14:textId="77777777" w:rsidR="00CC1794" w:rsidRPr="00BB3B7F" w:rsidRDefault="00CC1794" w:rsidP="00F75387">
            <w:pPr>
              <w:jc w:val="center"/>
              <w:rPr>
                <w:sz w:val="20"/>
                <w:szCs w:val="18"/>
                <w:lang w:val="id-ID"/>
              </w:rPr>
            </w:pPr>
            <w:r w:rsidRPr="00BB3B7F">
              <w:rPr>
                <w:sz w:val="20"/>
                <w:szCs w:val="18"/>
              </w:rPr>
              <w:t xml:space="preserve">4.84 </w:t>
            </w:r>
            <w:r w:rsidRPr="00BB3B7F">
              <w:rPr>
                <w:sz w:val="20"/>
                <w:szCs w:val="18"/>
                <w:lang w:val="id-ID"/>
              </w:rPr>
              <w:t>±</w:t>
            </w:r>
            <w:r w:rsidRPr="00BB3B7F">
              <w:rPr>
                <w:sz w:val="20"/>
                <w:szCs w:val="18"/>
              </w:rPr>
              <w:t xml:space="preserve"> 0.020</w:t>
            </w:r>
            <w:r w:rsidRPr="00BB3B7F">
              <w:rPr>
                <w:sz w:val="20"/>
                <w:szCs w:val="18"/>
                <w:vertAlign w:val="superscript"/>
                <w:lang w:val="id-ID"/>
              </w:rPr>
              <w:t>a</w:t>
            </w:r>
          </w:p>
        </w:tc>
        <w:tc>
          <w:tcPr>
            <w:tcW w:w="2038" w:type="dxa"/>
            <w:tcBorders>
              <w:bottom w:val="nil"/>
            </w:tcBorders>
            <w:vAlign w:val="center"/>
          </w:tcPr>
          <w:p w14:paraId="01972F3B" w14:textId="77777777" w:rsidR="00CC1794" w:rsidRPr="00BB3B7F" w:rsidRDefault="00CC1794" w:rsidP="00F75387">
            <w:pPr>
              <w:jc w:val="center"/>
              <w:rPr>
                <w:sz w:val="20"/>
                <w:szCs w:val="18"/>
              </w:rPr>
            </w:pPr>
            <w:r w:rsidRPr="00BB3B7F">
              <w:rPr>
                <w:sz w:val="20"/>
                <w:szCs w:val="18"/>
              </w:rPr>
              <w:t xml:space="preserve">4.64 </w:t>
            </w:r>
            <w:r w:rsidRPr="00BB3B7F">
              <w:rPr>
                <w:sz w:val="20"/>
                <w:szCs w:val="18"/>
                <w:lang w:val="id-ID"/>
              </w:rPr>
              <w:t>±</w:t>
            </w:r>
            <w:r w:rsidRPr="00BB3B7F">
              <w:rPr>
                <w:sz w:val="20"/>
                <w:szCs w:val="18"/>
              </w:rPr>
              <w:t xml:space="preserve"> 0.012</w:t>
            </w:r>
            <w:r w:rsidRPr="00BB3B7F">
              <w:rPr>
                <w:sz w:val="20"/>
                <w:szCs w:val="18"/>
                <w:vertAlign w:val="superscript"/>
              </w:rPr>
              <w:t>b</w:t>
            </w:r>
          </w:p>
        </w:tc>
        <w:tc>
          <w:tcPr>
            <w:tcW w:w="2039" w:type="dxa"/>
            <w:tcBorders>
              <w:bottom w:val="nil"/>
              <w:right w:val="nil"/>
            </w:tcBorders>
            <w:vAlign w:val="center"/>
          </w:tcPr>
          <w:p w14:paraId="1FFBA2C8" w14:textId="77777777" w:rsidR="00CC1794" w:rsidRPr="00BB3B7F" w:rsidRDefault="00CC1794" w:rsidP="00F75387">
            <w:pPr>
              <w:jc w:val="center"/>
              <w:rPr>
                <w:sz w:val="20"/>
                <w:szCs w:val="18"/>
              </w:rPr>
            </w:pPr>
            <w:r w:rsidRPr="00BB3B7F">
              <w:rPr>
                <w:sz w:val="20"/>
                <w:szCs w:val="18"/>
              </w:rPr>
              <w:t xml:space="preserve">4.54 </w:t>
            </w:r>
            <w:r w:rsidRPr="00BB3B7F">
              <w:rPr>
                <w:sz w:val="20"/>
                <w:szCs w:val="18"/>
                <w:lang w:val="id-ID"/>
              </w:rPr>
              <w:t>±</w:t>
            </w:r>
            <w:r w:rsidRPr="00BB3B7F">
              <w:rPr>
                <w:sz w:val="20"/>
                <w:szCs w:val="18"/>
              </w:rPr>
              <w:t xml:space="preserve"> 0.013</w:t>
            </w:r>
            <w:r w:rsidRPr="00BB3B7F">
              <w:rPr>
                <w:sz w:val="20"/>
                <w:szCs w:val="18"/>
                <w:vertAlign w:val="superscript"/>
              </w:rPr>
              <w:t>c</w:t>
            </w:r>
          </w:p>
        </w:tc>
      </w:tr>
      <w:tr w:rsidR="00CC1794" w:rsidRPr="00BB3B7F" w14:paraId="2B77211E" w14:textId="77777777" w:rsidTr="00F75387">
        <w:tc>
          <w:tcPr>
            <w:tcW w:w="2038" w:type="dxa"/>
            <w:tcBorders>
              <w:top w:val="nil"/>
              <w:left w:val="nil"/>
              <w:bottom w:val="nil"/>
            </w:tcBorders>
            <w:vAlign w:val="center"/>
          </w:tcPr>
          <w:p w14:paraId="13B07C36" w14:textId="4A5EC33C" w:rsidR="00CC1794" w:rsidRPr="00BB3B7F" w:rsidRDefault="008B1E1E" w:rsidP="00F75387">
            <w:pPr>
              <w:rPr>
                <w:sz w:val="20"/>
                <w:szCs w:val="18"/>
              </w:rPr>
            </w:pPr>
            <w:r>
              <w:rPr>
                <w:sz w:val="20"/>
                <w:szCs w:val="18"/>
              </w:rPr>
              <w:t>A</w:t>
            </w:r>
            <w:r w:rsidRPr="008B1E1E">
              <w:rPr>
                <w:sz w:val="20"/>
                <w:szCs w:val="18"/>
              </w:rPr>
              <w:t>erobic exposure</w:t>
            </w:r>
          </w:p>
        </w:tc>
        <w:tc>
          <w:tcPr>
            <w:tcW w:w="2038" w:type="dxa"/>
            <w:tcBorders>
              <w:top w:val="nil"/>
              <w:bottom w:val="nil"/>
            </w:tcBorders>
            <w:vAlign w:val="center"/>
          </w:tcPr>
          <w:p w14:paraId="7499F27A" w14:textId="77777777" w:rsidR="00CC1794" w:rsidRPr="00BB3B7F" w:rsidRDefault="00CC1794" w:rsidP="00F75387">
            <w:pPr>
              <w:jc w:val="center"/>
              <w:rPr>
                <w:sz w:val="20"/>
                <w:szCs w:val="18"/>
                <w:vertAlign w:val="superscript"/>
              </w:rPr>
            </w:pPr>
            <w:r w:rsidRPr="00BB3B7F">
              <w:rPr>
                <w:sz w:val="20"/>
                <w:szCs w:val="18"/>
              </w:rPr>
              <w:t xml:space="preserve">7.10 </w:t>
            </w:r>
            <w:r w:rsidRPr="00BB3B7F">
              <w:rPr>
                <w:sz w:val="20"/>
                <w:szCs w:val="18"/>
                <w:lang w:val="id-ID"/>
              </w:rPr>
              <w:t>±</w:t>
            </w:r>
            <w:r w:rsidRPr="00BB3B7F">
              <w:rPr>
                <w:sz w:val="20"/>
                <w:szCs w:val="18"/>
              </w:rPr>
              <w:t xml:space="preserve"> 0.015</w:t>
            </w:r>
            <w:r w:rsidRPr="00BB3B7F">
              <w:rPr>
                <w:sz w:val="20"/>
                <w:szCs w:val="18"/>
                <w:vertAlign w:val="superscript"/>
              </w:rPr>
              <w:t>d</w:t>
            </w:r>
          </w:p>
        </w:tc>
        <w:tc>
          <w:tcPr>
            <w:tcW w:w="2038" w:type="dxa"/>
            <w:tcBorders>
              <w:top w:val="nil"/>
              <w:bottom w:val="nil"/>
            </w:tcBorders>
            <w:vAlign w:val="center"/>
          </w:tcPr>
          <w:p w14:paraId="50F8261F" w14:textId="77777777" w:rsidR="00CC1794" w:rsidRPr="00BB3B7F" w:rsidRDefault="00CC1794" w:rsidP="00F75387">
            <w:pPr>
              <w:jc w:val="center"/>
              <w:rPr>
                <w:sz w:val="20"/>
                <w:szCs w:val="18"/>
                <w:vertAlign w:val="superscript"/>
              </w:rPr>
            </w:pPr>
            <w:r w:rsidRPr="00BB3B7F">
              <w:rPr>
                <w:sz w:val="20"/>
                <w:szCs w:val="18"/>
              </w:rPr>
              <w:t xml:space="preserve">6.79 </w:t>
            </w:r>
            <w:r w:rsidRPr="00BB3B7F">
              <w:rPr>
                <w:sz w:val="20"/>
                <w:szCs w:val="18"/>
                <w:lang w:val="id-ID"/>
              </w:rPr>
              <w:t>±</w:t>
            </w:r>
            <w:r w:rsidRPr="00BB3B7F">
              <w:rPr>
                <w:sz w:val="20"/>
                <w:szCs w:val="18"/>
              </w:rPr>
              <w:t xml:space="preserve"> 0.013</w:t>
            </w:r>
            <w:r w:rsidRPr="00BB3B7F">
              <w:rPr>
                <w:sz w:val="20"/>
                <w:szCs w:val="18"/>
                <w:vertAlign w:val="superscript"/>
              </w:rPr>
              <w:t>e</w:t>
            </w:r>
          </w:p>
        </w:tc>
        <w:tc>
          <w:tcPr>
            <w:tcW w:w="2039" w:type="dxa"/>
            <w:tcBorders>
              <w:top w:val="nil"/>
              <w:bottom w:val="nil"/>
              <w:right w:val="nil"/>
            </w:tcBorders>
            <w:vAlign w:val="center"/>
          </w:tcPr>
          <w:p w14:paraId="5ADB55CB" w14:textId="77777777" w:rsidR="00CC1794" w:rsidRPr="00BB3B7F" w:rsidRDefault="00CC1794" w:rsidP="00F75387">
            <w:pPr>
              <w:jc w:val="center"/>
              <w:rPr>
                <w:sz w:val="20"/>
                <w:szCs w:val="18"/>
                <w:vertAlign w:val="superscript"/>
              </w:rPr>
            </w:pPr>
            <w:r w:rsidRPr="00BB3B7F">
              <w:rPr>
                <w:sz w:val="20"/>
                <w:szCs w:val="18"/>
              </w:rPr>
              <w:t xml:space="preserve">6.59 </w:t>
            </w:r>
            <w:r w:rsidRPr="00BB3B7F">
              <w:rPr>
                <w:sz w:val="20"/>
                <w:szCs w:val="18"/>
                <w:lang w:val="id-ID"/>
              </w:rPr>
              <w:t>±</w:t>
            </w:r>
            <w:r w:rsidRPr="00BB3B7F">
              <w:rPr>
                <w:sz w:val="20"/>
                <w:szCs w:val="18"/>
              </w:rPr>
              <w:t xml:space="preserve"> 0.007</w:t>
            </w:r>
            <w:r w:rsidRPr="00BB3B7F">
              <w:rPr>
                <w:sz w:val="20"/>
                <w:szCs w:val="18"/>
                <w:vertAlign w:val="superscript"/>
              </w:rPr>
              <w:t>f</w:t>
            </w:r>
          </w:p>
        </w:tc>
      </w:tr>
      <w:tr w:rsidR="00CC1794" w:rsidRPr="00BB3B7F" w14:paraId="45CBC1B4" w14:textId="77777777" w:rsidTr="00F75387">
        <w:tc>
          <w:tcPr>
            <w:tcW w:w="2038" w:type="dxa"/>
            <w:tcBorders>
              <w:top w:val="nil"/>
              <w:left w:val="nil"/>
            </w:tcBorders>
            <w:vAlign w:val="center"/>
          </w:tcPr>
          <w:p w14:paraId="143E439C" w14:textId="77777777" w:rsidR="00CC1794" w:rsidRPr="00BB3B7F" w:rsidRDefault="00CC1794" w:rsidP="00F75387">
            <w:pPr>
              <w:rPr>
                <w:sz w:val="20"/>
                <w:szCs w:val="18"/>
              </w:rPr>
            </w:pPr>
            <w:r w:rsidRPr="00BB3B7F">
              <w:rPr>
                <w:sz w:val="20"/>
                <w:szCs w:val="18"/>
              </w:rPr>
              <w:t>Re-ensiling</w:t>
            </w:r>
          </w:p>
        </w:tc>
        <w:tc>
          <w:tcPr>
            <w:tcW w:w="2038" w:type="dxa"/>
            <w:tcBorders>
              <w:top w:val="nil"/>
            </w:tcBorders>
          </w:tcPr>
          <w:p w14:paraId="33B464A1" w14:textId="77777777" w:rsidR="00CC1794" w:rsidRPr="00BB3B7F" w:rsidRDefault="00CC1794" w:rsidP="00F75387">
            <w:pPr>
              <w:jc w:val="center"/>
              <w:rPr>
                <w:sz w:val="20"/>
                <w:szCs w:val="18"/>
                <w:vertAlign w:val="superscript"/>
              </w:rPr>
            </w:pPr>
            <w:r w:rsidRPr="00BB3B7F">
              <w:rPr>
                <w:sz w:val="20"/>
                <w:szCs w:val="18"/>
              </w:rPr>
              <w:t xml:space="preserve">6.39 </w:t>
            </w:r>
            <w:r w:rsidRPr="00BB3B7F">
              <w:rPr>
                <w:sz w:val="20"/>
                <w:szCs w:val="18"/>
                <w:lang w:val="id-ID"/>
              </w:rPr>
              <w:t>±</w:t>
            </w:r>
            <w:r w:rsidRPr="00BB3B7F">
              <w:rPr>
                <w:sz w:val="20"/>
                <w:szCs w:val="18"/>
              </w:rPr>
              <w:t xml:space="preserve"> 0.005</w:t>
            </w:r>
            <w:r w:rsidRPr="00BB3B7F">
              <w:rPr>
                <w:sz w:val="20"/>
                <w:szCs w:val="18"/>
                <w:vertAlign w:val="superscript"/>
              </w:rPr>
              <w:t>g</w:t>
            </w:r>
          </w:p>
        </w:tc>
        <w:tc>
          <w:tcPr>
            <w:tcW w:w="2038" w:type="dxa"/>
            <w:tcBorders>
              <w:top w:val="nil"/>
            </w:tcBorders>
          </w:tcPr>
          <w:p w14:paraId="2A854DBB" w14:textId="77777777" w:rsidR="00CC1794" w:rsidRPr="00BB3B7F" w:rsidRDefault="00CC1794" w:rsidP="00F75387">
            <w:pPr>
              <w:jc w:val="center"/>
              <w:rPr>
                <w:sz w:val="20"/>
                <w:szCs w:val="18"/>
                <w:vertAlign w:val="superscript"/>
              </w:rPr>
            </w:pPr>
            <w:r w:rsidRPr="00BB3B7F">
              <w:rPr>
                <w:sz w:val="20"/>
                <w:szCs w:val="18"/>
              </w:rPr>
              <w:t xml:space="preserve">5.65 </w:t>
            </w:r>
            <w:r w:rsidRPr="00BB3B7F">
              <w:rPr>
                <w:sz w:val="20"/>
                <w:szCs w:val="18"/>
                <w:lang w:val="id-ID"/>
              </w:rPr>
              <w:t>±</w:t>
            </w:r>
            <w:r w:rsidRPr="00BB3B7F">
              <w:rPr>
                <w:sz w:val="20"/>
                <w:szCs w:val="18"/>
              </w:rPr>
              <w:t xml:space="preserve"> 0.013</w:t>
            </w:r>
            <w:r w:rsidRPr="00BB3B7F">
              <w:rPr>
                <w:sz w:val="20"/>
                <w:szCs w:val="18"/>
                <w:vertAlign w:val="superscript"/>
              </w:rPr>
              <w:t>h</w:t>
            </w:r>
          </w:p>
        </w:tc>
        <w:tc>
          <w:tcPr>
            <w:tcW w:w="2039" w:type="dxa"/>
            <w:tcBorders>
              <w:top w:val="nil"/>
              <w:right w:val="nil"/>
            </w:tcBorders>
          </w:tcPr>
          <w:p w14:paraId="5703BF39" w14:textId="77777777" w:rsidR="00CC1794" w:rsidRPr="00BB3B7F" w:rsidRDefault="00CC1794" w:rsidP="00F75387">
            <w:pPr>
              <w:jc w:val="center"/>
              <w:rPr>
                <w:sz w:val="20"/>
                <w:szCs w:val="18"/>
                <w:vertAlign w:val="superscript"/>
              </w:rPr>
            </w:pPr>
            <w:r w:rsidRPr="00BB3B7F">
              <w:rPr>
                <w:sz w:val="20"/>
                <w:szCs w:val="18"/>
              </w:rPr>
              <w:t xml:space="preserve">5.21 </w:t>
            </w:r>
            <w:r w:rsidRPr="00BB3B7F">
              <w:rPr>
                <w:sz w:val="20"/>
                <w:szCs w:val="18"/>
                <w:lang w:val="id-ID"/>
              </w:rPr>
              <w:t>±</w:t>
            </w:r>
            <w:r w:rsidRPr="00BB3B7F">
              <w:rPr>
                <w:sz w:val="20"/>
                <w:szCs w:val="18"/>
              </w:rPr>
              <w:t xml:space="preserve"> 0.010</w:t>
            </w:r>
            <w:r w:rsidRPr="00BB3B7F">
              <w:rPr>
                <w:sz w:val="20"/>
                <w:szCs w:val="18"/>
                <w:vertAlign w:val="superscript"/>
              </w:rPr>
              <w:t>i</w:t>
            </w:r>
          </w:p>
        </w:tc>
      </w:tr>
    </w:tbl>
    <w:p w14:paraId="34D2E19F" w14:textId="0AA7E0A7" w:rsidR="00CC1794" w:rsidRPr="00BB3B7F" w:rsidRDefault="008B1E1E" w:rsidP="00CC1794">
      <w:pPr>
        <w:rPr>
          <w:sz w:val="20"/>
          <w:szCs w:val="18"/>
          <w:lang w:val="id-ID"/>
        </w:rPr>
      </w:pPr>
      <w:r>
        <w:rPr>
          <w:sz w:val="20"/>
          <w:szCs w:val="18"/>
        </w:rPr>
        <w:t>note</w:t>
      </w:r>
      <w:r w:rsidR="00CC1794" w:rsidRPr="00BB3B7F">
        <w:rPr>
          <w:sz w:val="20"/>
          <w:szCs w:val="18"/>
          <w:lang w:val="id-ID"/>
        </w:rPr>
        <w:t>:</w:t>
      </w:r>
    </w:p>
    <w:p w14:paraId="4C26A724" w14:textId="0E206513" w:rsidR="00CC1794" w:rsidRDefault="00CC1794" w:rsidP="008B1E1E">
      <w:pPr>
        <w:rPr>
          <w:sz w:val="20"/>
          <w:szCs w:val="18"/>
          <w:lang w:val="id-ID"/>
        </w:rPr>
      </w:pPr>
      <w:r w:rsidRPr="00BB3B7F">
        <w:rPr>
          <w:sz w:val="20"/>
          <w:szCs w:val="18"/>
          <w:lang w:val="id-ID"/>
        </w:rPr>
        <w:t>a,b</w:t>
      </w:r>
      <w:r w:rsidRPr="00BB3B7F">
        <w:rPr>
          <w:sz w:val="20"/>
          <w:szCs w:val="18"/>
        </w:rPr>
        <w:t>..i</w:t>
      </w:r>
      <w:r w:rsidRPr="00BB3B7F">
        <w:rPr>
          <w:sz w:val="20"/>
          <w:szCs w:val="18"/>
          <w:lang w:val="id-ID"/>
        </w:rPr>
        <w:t xml:space="preserve"> : </w:t>
      </w:r>
      <w:r w:rsidR="008B1E1E" w:rsidRPr="008B1E1E">
        <w:rPr>
          <w:sz w:val="20"/>
          <w:szCs w:val="18"/>
          <w:lang w:val="id-ID"/>
        </w:rPr>
        <w:t>Similar letter notation means there is no significant difference at the Mann Whitney test level which has a value of 5%</w:t>
      </w:r>
    </w:p>
    <w:p w14:paraId="1D698E51" w14:textId="77777777" w:rsidR="008B1E1E" w:rsidRDefault="008B1E1E" w:rsidP="008B1E1E"/>
    <w:p w14:paraId="111242C1" w14:textId="1EE0898F" w:rsidR="00CC1794" w:rsidRPr="00A51F09" w:rsidRDefault="008B1E1E" w:rsidP="00CC1794">
      <w:r>
        <w:rPr>
          <w:b/>
          <w:bCs/>
        </w:rPr>
        <w:t>Table</w:t>
      </w:r>
      <w:r w:rsidR="00CC1794" w:rsidRPr="00A51F09">
        <w:rPr>
          <w:b/>
          <w:bCs/>
        </w:rPr>
        <w:t xml:space="preserve"> 4. </w:t>
      </w:r>
      <w:r w:rsidRPr="008B1E1E">
        <w:t>Average Organoleptic Test Value</w:t>
      </w:r>
    </w:p>
    <w:tbl>
      <w:tblPr>
        <w:tblStyle w:val="TableGrid"/>
        <w:tblW w:w="0" w:type="auto"/>
        <w:jc w:val="center"/>
        <w:tblBorders>
          <w:insideV w:val="none" w:sz="0" w:space="0" w:color="auto"/>
        </w:tblBorders>
        <w:tblLook w:val="04A0" w:firstRow="1" w:lastRow="0" w:firstColumn="1" w:lastColumn="0" w:noHBand="0" w:noVBand="1"/>
      </w:tblPr>
      <w:tblGrid>
        <w:gridCol w:w="1985"/>
        <w:gridCol w:w="1217"/>
        <w:gridCol w:w="1625"/>
        <w:gridCol w:w="1592"/>
        <w:gridCol w:w="1592"/>
      </w:tblGrid>
      <w:tr w:rsidR="00CC1794" w:rsidRPr="00A51F09" w14:paraId="7AD437D5" w14:textId="77777777" w:rsidTr="00F75387">
        <w:trPr>
          <w:jc w:val="center"/>
        </w:trPr>
        <w:tc>
          <w:tcPr>
            <w:tcW w:w="1985" w:type="dxa"/>
            <w:tcBorders>
              <w:left w:val="nil"/>
              <w:right w:val="nil"/>
            </w:tcBorders>
          </w:tcPr>
          <w:p w14:paraId="0497A7FB" w14:textId="01275DAF" w:rsidR="00CC1794" w:rsidRPr="00A51F09" w:rsidRDefault="008B1E1E" w:rsidP="00F75387">
            <w:pPr>
              <w:jc w:val="center"/>
              <w:rPr>
                <w:rFonts w:cs="Times New Roman"/>
                <w:sz w:val="20"/>
                <w:szCs w:val="20"/>
              </w:rPr>
            </w:pPr>
            <w:r>
              <w:rPr>
                <w:rFonts w:cs="Times New Roman"/>
                <w:sz w:val="20"/>
                <w:szCs w:val="20"/>
              </w:rPr>
              <w:t>Sample</w:t>
            </w:r>
          </w:p>
        </w:tc>
        <w:tc>
          <w:tcPr>
            <w:tcW w:w="1217" w:type="dxa"/>
            <w:tcBorders>
              <w:left w:val="nil"/>
              <w:right w:val="nil"/>
            </w:tcBorders>
            <w:vAlign w:val="center"/>
          </w:tcPr>
          <w:p w14:paraId="4913EEB2" w14:textId="77777777" w:rsidR="00CC1794" w:rsidRPr="00A51F09" w:rsidRDefault="00CC1794" w:rsidP="00F75387">
            <w:pPr>
              <w:jc w:val="center"/>
              <w:rPr>
                <w:rFonts w:cs="Times New Roman"/>
                <w:sz w:val="20"/>
                <w:szCs w:val="20"/>
              </w:rPr>
            </w:pPr>
            <w:r w:rsidRPr="00A51F09">
              <w:rPr>
                <w:rFonts w:cs="Times New Roman"/>
                <w:sz w:val="20"/>
                <w:szCs w:val="20"/>
              </w:rPr>
              <w:t>Parameter</w:t>
            </w:r>
          </w:p>
        </w:tc>
        <w:tc>
          <w:tcPr>
            <w:tcW w:w="1625" w:type="dxa"/>
            <w:tcBorders>
              <w:left w:val="nil"/>
            </w:tcBorders>
            <w:vAlign w:val="center"/>
          </w:tcPr>
          <w:p w14:paraId="1CB90A71" w14:textId="20E96ED2" w:rsidR="00CC1794" w:rsidRPr="00A51F09" w:rsidRDefault="008B1E1E" w:rsidP="00F75387">
            <w:pPr>
              <w:jc w:val="center"/>
              <w:rPr>
                <w:rFonts w:cs="Times New Roman"/>
                <w:sz w:val="20"/>
                <w:szCs w:val="20"/>
                <w:lang w:val="id-ID"/>
              </w:rPr>
            </w:pPr>
            <w:r>
              <w:rPr>
                <w:rFonts w:cs="Times New Roman"/>
                <w:sz w:val="20"/>
                <w:szCs w:val="20"/>
              </w:rPr>
              <w:t>Control</w:t>
            </w:r>
          </w:p>
        </w:tc>
        <w:tc>
          <w:tcPr>
            <w:tcW w:w="1592" w:type="dxa"/>
            <w:vAlign w:val="center"/>
          </w:tcPr>
          <w:p w14:paraId="01D25A7C" w14:textId="42D42415" w:rsidR="00CC1794" w:rsidRPr="00A51F09" w:rsidRDefault="00E00DF5" w:rsidP="00F75387">
            <w:pPr>
              <w:jc w:val="center"/>
              <w:rPr>
                <w:rFonts w:cs="Times New Roman"/>
                <w:sz w:val="20"/>
                <w:szCs w:val="20"/>
                <w:lang w:val="id-ID"/>
              </w:rPr>
            </w:pPr>
            <w:r>
              <w:rPr>
                <w:rFonts w:cs="Times New Roman"/>
                <w:sz w:val="20"/>
                <w:szCs w:val="20"/>
              </w:rPr>
              <w:t xml:space="preserve">Probiotic starter with rice bran </w:t>
            </w:r>
          </w:p>
        </w:tc>
        <w:tc>
          <w:tcPr>
            <w:tcW w:w="1592" w:type="dxa"/>
            <w:tcBorders>
              <w:right w:val="nil"/>
            </w:tcBorders>
            <w:vAlign w:val="center"/>
          </w:tcPr>
          <w:p w14:paraId="7DE5FAD2" w14:textId="5036FA87" w:rsidR="00CC1794" w:rsidRPr="00A51F09" w:rsidRDefault="00E00DF5" w:rsidP="00F75387">
            <w:pPr>
              <w:jc w:val="center"/>
              <w:rPr>
                <w:rFonts w:cs="Times New Roman"/>
                <w:sz w:val="20"/>
                <w:szCs w:val="20"/>
                <w:lang w:val="id-ID"/>
              </w:rPr>
            </w:pPr>
            <w:r>
              <w:rPr>
                <w:rFonts w:cs="Times New Roman"/>
                <w:sz w:val="20"/>
                <w:szCs w:val="20"/>
              </w:rPr>
              <w:t>Probiotic starter with heriyaki powder</w:t>
            </w:r>
          </w:p>
        </w:tc>
      </w:tr>
      <w:tr w:rsidR="00CC1794" w:rsidRPr="00A51F09" w14:paraId="2D051EA5" w14:textId="77777777" w:rsidTr="00F75387">
        <w:trPr>
          <w:jc w:val="center"/>
        </w:trPr>
        <w:tc>
          <w:tcPr>
            <w:tcW w:w="1985" w:type="dxa"/>
            <w:tcBorders>
              <w:left w:val="nil"/>
              <w:bottom w:val="nil"/>
              <w:right w:val="nil"/>
            </w:tcBorders>
          </w:tcPr>
          <w:p w14:paraId="3A6EECBA" w14:textId="11039553" w:rsidR="00CC1794" w:rsidRPr="00A51F09" w:rsidRDefault="008B1E1E" w:rsidP="00F75387">
            <w:pPr>
              <w:rPr>
                <w:rFonts w:cs="Times New Roman"/>
                <w:sz w:val="20"/>
                <w:szCs w:val="20"/>
              </w:rPr>
            </w:pPr>
            <w:r>
              <w:rPr>
                <w:rFonts w:cs="Times New Roman"/>
                <w:sz w:val="20"/>
                <w:szCs w:val="20"/>
              </w:rPr>
              <w:t>14 Days Fermentation</w:t>
            </w:r>
          </w:p>
        </w:tc>
        <w:tc>
          <w:tcPr>
            <w:tcW w:w="1217" w:type="dxa"/>
            <w:tcBorders>
              <w:left w:val="nil"/>
              <w:bottom w:val="nil"/>
              <w:right w:val="nil"/>
            </w:tcBorders>
            <w:vAlign w:val="center"/>
          </w:tcPr>
          <w:p w14:paraId="4C7C6945" w14:textId="2FCB52EC" w:rsidR="00CC1794" w:rsidRPr="00A51F09" w:rsidRDefault="008B1E1E" w:rsidP="00F75387">
            <w:pPr>
              <w:rPr>
                <w:rFonts w:cs="Times New Roman"/>
                <w:sz w:val="20"/>
                <w:szCs w:val="20"/>
                <w:lang w:val="id-ID"/>
              </w:rPr>
            </w:pPr>
            <w:r>
              <w:rPr>
                <w:rFonts w:cs="Times New Roman"/>
                <w:sz w:val="20"/>
                <w:szCs w:val="20"/>
              </w:rPr>
              <w:t>Color</w:t>
            </w:r>
            <w:r w:rsidR="00CC1794" w:rsidRPr="00A51F09">
              <w:rPr>
                <w:rFonts w:cs="Times New Roman"/>
                <w:sz w:val="20"/>
                <w:szCs w:val="20"/>
              </w:rPr>
              <w:t>*</w:t>
            </w:r>
          </w:p>
        </w:tc>
        <w:tc>
          <w:tcPr>
            <w:tcW w:w="1625" w:type="dxa"/>
            <w:tcBorders>
              <w:left w:val="nil"/>
              <w:bottom w:val="nil"/>
              <w:right w:val="nil"/>
            </w:tcBorders>
            <w:vAlign w:val="center"/>
          </w:tcPr>
          <w:p w14:paraId="5BDF63C4" w14:textId="77777777" w:rsidR="00CC1794" w:rsidRPr="00A51F09" w:rsidRDefault="00CC1794" w:rsidP="00F75387">
            <w:pPr>
              <w:jc w:val="center"/>
              <w:rPr>
                <w:rFonts w:cs="Times New Roman"/>
                <w:sz w:val="20"/>
                <w:szCs w:val="20"/>
                <w:lang w:val="id-ID"/>
              </w:rPr>
            </w:pPr>
            <w:r w:rsidRPr="00A51F09">
              <w:rPr>
                <w:rFonts w:cs="Times New Roman"/>
                <w:sz w:val="20"/>
                <w:szCs w:val="20"/>
              </w:rPr>
              <w:t>3 ± 0.515</w:t>
            </w:r>
            <w:r w:rsidRPr="00A51F09">
              <w:rPr>
                <w:rFonts w:cs="Times New Roman"/>
                <w:sz w:val="20"/>
                <w:szCs w:val="20"/>
                <w:vertAlign w:val="superscript"/>
              </w:rPr>
              <w:t>a</w:t>
            </w:r>
          </w:p>
        </w:tc>
        <w:tc>
          <w:tcPr>
            <w:tcW w:w="1592" w:type="dxa"/>
            <w:tcBorders>
              <w:left w:val="nil"/>
              <w:bottom w:val="nil"/>
              <w:right w:val="nil"/>
            </w:tcBorders>
            <w:vAlign w:val="center"/>
          </w:tcPr>
          <w:p w14:paraId="24033F08" w14:textId="77777777" w:rsidR="00CC1794" w:rsidRPr="00A51F09" w:rsidRDefault="00CC1794" w:rsidP="00F75387">
            <w:pPr>
              <w:jc w:val="center"/>
              <w:rPr>
                <w:rFonts w:cs="Times New Roman"/>
                <w:sz w:val="20"/>
                <w:szCs w:val="20"/>
                <w:lang w:val="id-ID"/>
              </w:rPr>
            </w:pPr>
            <w:r w:rsidRPr="00A51F09">
              <w:rPr>
                <w:rFonts w:cs="Times New Roman"/>
                <w:sz w:val="20"/>
                <w:szCs w:val="20"/>
              </w:rPr>
              <w:t>3 ± 0.515</w:t>
            </w:r>
            <w:r w:rsidRPr="00A51F09">
              <w:rPr>
                <w:rFonts w:cs="Times New Roman"/>
                <w:sz w:val="20"/>
                <w:szCs w:val="20"/>
                <w:vertAlign w:val="superscript"/>
              </w:rPr>
              <w:t>a</w:t>
            </w:r>
          </w:p>
        </w:tc>
        <w:tc>
          <w:tcPr>
            <w:tcW w:w="1592" w:type="dxa"/>
            <w:tcBorders>
              <w:left w:val="nil"/>
              <w:bottom w:val="nil"/>
              <w:right w:val="nil"/>
            </w:tcBorders>
            <w:vAlign w:val="center"/>
          </w:tcPr>
          <w:p w14:paraId="2B95CDCE" w14:textId="77777777" w:rsidR="00CC1794" w:rsidRPr="00A51F09" w:rsidRDefault="00CC1794" w:rsidP="00F75387">
            <w:pPr>
              <w:jc w:val="center"/>
              <w:rPr>
                <w:rFonts w:cs="Times New Roman"/>
                <w:sz w:val="20"/>
                <w:szCs w:val="20"/>
                <w:lang w:val="id-ID"/>
              </w:rPr>
            </w:pPr>
            <w:r w:rsidRPr="00A51F09">
              <w:rPr>
                <w:rFonts w:cs="Times New Roman"/>
                <w:sz w:val="20"/>
                <w:szCs w:val="20"/>
              </w:rPr>
              <w:t>3 ± 0.289</w:t>
            </w:r>
            <w:r w:rsidRPr="00A51F09">
              <w:rPr>
                <w:rFonts w:cs="Times New Roman"/>
                <w:sz w:val="20"/>
                <w:szCs w:val="20"/>
                <w:vertAlign w:val="superscript"/>
              </w:rPr>
              <w:t>b</w:t>
            </w:r>
          </w:p>
        </w:tc>
      </w:tr>
      <w:tr w:rsidR="00CC1794" w:rsidRPr="00A51F09" w14:paraId="55FBCAE8" w14:textId="77777777" w:rsidTr="00F75387">
        <w:trPr>
          <w:jc w:val="center"/>
        </w:trPr>
        <w:tc>
          <w:tcPr>
            <w:tcW w:w="1985" w:type="dxa"/>
            <w:tcBorders>
              <w:top w:val="nil"/>
              <w:left w:val="nil"/>
              <w:bottom w:val="nil"/>
            </w:tcBorders>
          </w:tcPr>
          <w:p w14:paraId="38756C5E" w14:textId="77777777" w:rsidR="00CC1794" w:rsidRPr="00A51F09" w:rsidRDefault="00CC1794" w:rsidP="00F75387">
            <w:pPr>
              <w:rPr>
                <w:rFonts w:cs="Times New Roman"/>
                <w:sz w:val="20"/>
                <w:szCs w:val="20"/>
              </w:rPr>
            </w:pPr>
          </w:p>
        </w:tc>
        <w:tc>
          <w:tcPr>
            <w:tcW w:w="1217" w:type="dxa"/>
            <w:tcBorders>
              <w:top w:val="nil"/>
              <w:left w:val="nil"/>
              <w:bottom w:val="nil"/>
            </w:tcBorders>
            <w:vAlign w:val="center"/>
          </w:tcPr>
          <w:p w14:paraId="0BCB367B" w14:textId="77777777" w:rsidR="00CC1794" w:rsidRPr="00A51F09" w:rsidRDefault="00CC1794" w:rsidP="00F75387">
            <w:pPr>
              <w:rPr>
                <w:rFonts w:cs="Times New Roman"/>
                <w:sz w:val="20"/>
                <w:szCs w:val="20"/>
                <w:lang w:val="id-ID"/>
              </w:rPr>
            </w:pPr>
            <w:r w:rsidRPr="00A51F09">
              <w:rPr>
                <w:rFonts w:cs="Times New Roman"/>
                <w:sz w:val="20"/>
                <w:szCs w:val="20"/>
              </w:rPr>
              <w:t>Aroma**</w:t>
            </w:r>
          </w:p>
        </w:tc>
        <w:tc>
          <w:tcPr>
            <w:tcW w:w="1625" w:type="dxa"/>
            <w:tcBorders>
              <w:top w:val="nil"/>
              <w:bottom w:val="nil"/>
            </w:tcBorders>
            <w:vAlign w:val="center"/>
          </w:tcPr>
          <w:p w14:paraId="0DF5C87B" w14:textId="77777777" w:rsidR="00CC1794" w:rsidRPr="00A51F09" w:rsidRDefault="00CC1794" w:rsidP="00F75387">
            <w:pPr>
              <w:jc w:val="center"/>
              <w:rPr>
                <w:rFonts w:cs="Times New Roman"/>
                <w:sz w:val="20"/>
                <w:szCs w:val="20"/>
                <w:lang w:val="id-ID"/>
              </w:rPr>
            </w:pPr>
            <w:r w:rsidRPr="00A51F09">
              <w:rPr>
                <w:rFonts w:cs="Times New Roman"/>
                <w:sz w:val="20"/>
                <w:szCs w:val="20"/>
              </w:rPr>
              <w:t>3 ± 0.603</w:t>
            </w:r>
            <w:r w:rsidRPr="00A51F09">
              <w:rPr>
                <w:rFonts w:cs="Times New Roman"/>
                <w:sz w:val="20"/>
                <w:szCs w:val="20"/>
                <w:vertAlign w:val="superscript"/>
              </w:rPr>
              <w:t>a</w:t>
            </w:r>
          </w:p>
        </w:tc>
        <w:tc>
          <w:tcPr>
            <w:tcW w:w="1592" w:type="dxa"/>
            <w:tcBorders>
              <w:top w:val="nil"/>
              <w:bottom w:val="nil"/>
            </w:tcBorders>
            <w:vAlign w:val="center"/>
          </w:tcPr>
          <w:p w14:paraId="2918C837" w14:textId="77777777" w:rsidR="00CC1794" w:rsidRPr="00A51F09" w:rsidRDefault="00CC1794" w:rsidP="00F75387">
            <w:pPr>
              <w:jc w:val="center"/>
              <w:rPr>
                <w:rFonts w:cs="Times New Roman"/>
                <w:sz w:val="20"/>
                <w:szCs w:val="20"/>
                <w:lang w:val="id-ID"/>
              </w:rPr>
            </w:pPr>
            <w:r w:rsidRPr="00A51F09">
              <w:rPr>
                <w:rFonts w:cs="Times New Roman"/>
                <w:sz w:val="20"/>
                <w:szCs w:val="20"/>
              </w:rPr>
              <w:t>4 ± 0.522</w:t>
            </w:r>
            <w:r w:rsidRPr="00A51F09">
              <w:rPr>
                <w:rFonts w:cs="Times New Roman"/>
                <w:sz w:val="20"/>
                <w:szCs w:val="20"/>
                <w:vertAlign w:val="superscript"/>
              </w:rPr>
              <w:t>b</w:t>
            </w:r>
          </w:p>
        </w:tc>
        <w:tc>
          <w:tcPr>
            <w:tcW w:w="1592" w:type="dxa"/>
            <w:tcBorders>
              <w:top w:val="nil"/>
              <w:bottom w:val="nil"/>
              <w:right w:val="nil"/>
            </w:tcBorders>
            <w:vAlign w:val="center"/>
          </w:tcPr>
          <w:p w14:paraId="36C59BEE" w14:textId="77777777" w:rsidR="00CC1794" w:rsidRPr="00A51F09" w:rsidRDefault="00CC1794" w:rsidP="00F75387">
            <w:pPr>
              <w:jc w:val="center"/>
              <w:rPr>
                <w:rFonts w:cs="Times New Roman"/>
                <w:sz w:val="20"/>
                <w:szCs w:val="20"/>
                <w:lang w:val="id-ID"/>
              </w:rPr>
            </w:pPr>
            <w:r w:rsidRPr="00A51F09">
              <w:rPr>
                <w:rFonts w:cs="Times New Roman"/>
                <w:sz w:val="20"/>
                <w:szCs w:val="20"/>
              </w:rPr>
              <w:t>4 ± 0.452</w:t>
            </w:r>
            <w:r w:rsidRPr="00A51F09">
              <w:rPr>
                <w:rFonts w:cs="Times New Roman"/>
                <w:sz w:val="20"/>
                <w:szCs w:val="20"/>
                <w:vertAlign w:val="superscript"/>
              </w:rPr>
              <w:t>b</w:t>
            </w:r>
          </w:p>
        </w:tc>
      </w:tr>
      <w:tr w:rsidR="00CC1794" w:rsidRPr="00A51F09" w14:paraId="77062976" w14:textId="77777777" w:rsidTr="00F75387">
        <w:trPr>
          <w:jc w:val="center"/>
        </w:trPr>
        <w:tc>
          <w:tcPr>
            <w:tcW w:w="1985" w:type="dxa"/>
            <w:tcBorders>
              <w:top w:val="nil"/>
              <w:left w:val="nil"/>
              <w:bottom w:val="single" w:sz="4" w:space="0" w:color="auto"/>
            </w:tcBorders>
          </w:tcPr>
          <w:p w14:paraId="37A41121" w14:textId="77777777" w:rsidR="00CC1794" w:rsidRPr="00A51F09" w:rsidRDefault="00CC1794" w:rsidP="00F75387">
            <w:pPr>
              <w:rPr>
                <w:rFonts w:cs="Times New Roman"/>
                <w:sz w:val="20"/>
                <w:szCs w:val="20"/>
              </w:rPr>
            </w:pPr>
          </w:p>
        </w:tc>
        <w:tc>
          <w:tcPr>
            <w:tcW w:w="1217" w:type="dxa"/>
            <w:tcBorders>
              <w:top w:val="nil"/>
              <w:left w:val="nil"/>
              <w:bottom w:val="single" w:sz="4" w:space="0" w:color="auto"/>
            </w:tcBorders>
            <w:vAlign w:val="center"/>
          </w:tcPr>
          <w:p w14:paraId="2C31F994" w14:textId="2F3785CA" w:rsidR="00CC1794" w:rsidRPr="00A51F09" w:rsidRDefault="008B1E1E" w:rsidP="00F75387">
            <w:pPr>
              <w:rPr>
                <w:rFonts w:cs="Times New Roman"/>
                <w:sz w:val="20"/>
                <w:szCs w:val="20"/>
                <w:lang w:val="id-ID"/>
              </w:rPr>
            </w:pPr>
            <w:r>
              <w:rPr>
                <w:rFonts w:cs="Times New Roman"/>
                <w:sz w:val="20"/>
                <w:szCs w:val="20"/>
              </w:rPr>
              <w:t>Texture</w:t>
            </w:r>
            <w:r w:rsidR="00CC1794" w:rsidRPr="00A51F09">
              <w:rPr>
                <w:rFonts w:cs="Times New Roman"/>
                <w:sz w:val="20"/>
                <w:szCs w:val="20"/>
              </w:rPr>
              <w:t>***</w:t>
            </w:r>
          </w:p>
        </w:tc>
        <w:tc>
          <w:tcPr>
            <w:tcW w:w="1625" w:type="dxa"/>
            <w:tcBorders>
              <w:top w:val="nil"/>
              <w:bottom w:val="single" w:sz="4" w:space="0" w:color="auto"/>
            </w:tcBorders>
            <w:vAlign w:val="center"/>
          </w:tcPr>
          <w:p w14:paraId="14406D66" w14:textId="77777777" w:rsidR="00CC1794" w:rsidRPr="00A51F09" w:rsidRDefault="00CC1794" w:rsidP="00F75387">
            <w:pPr>
              <w:jc w:val="center"/>
              <w:rPr>
                <w:rFonts w:cs="Times New Roman"/>
                <w:sz w:val="20"/>
                <w:szCs w:val="20"/>
                <w:lang w:val="id-ID"/>
              </w:rPr>
            </w:pPr>
            <w:r w:rsidRPr="00A51F09">
              <w:rPr>
                <w:rFonts w:cs="Times New Roman"/>
                <w:sz w:val="20"/>
                <w:szCs w:val="20"/>
              </w:rPr>
              <w:t>3 ± 0.289</w:t>
            </w:r>
            <w:r w:rsidRPr="00A51F09">
              <w:rPr>
                <w:rFonts w:cs="Times New Roman"/>
                <w:sz w:val="20"/>
                <w:szCs w:val="20"/>
                <w:vertAlign w:val="superscript"/>
              </w:rPr>
              <w:t>a</w:t>
            </w:r>
          </w:p>
        </w:tc>
        <w:tc>
          <w:tcPr>
            <w:tcW w:w="1592" w:type="dxa"/>
            <w:tcBorders>
              <w:top w:val="nil"/>
              <w:bottom w:val="single" w:sz="4" w:space="0" w:color="auto"/>
            </w:tcBorders>
            <w:vAlign w:val="center"/>
          </w:tcPr>
          <w:p w14:paraId="06B1923D" w14:textId="77777777" w:rsidR="00CC1794" w:rsidRPr="00A51F09" w:rsidRDefault="00CC1794" w:rsidP="00F75387">
            <w:pPr>
              <w:jc w:val="center"/>
              <w:rPr>
                <w:rFonts w:cs="Times New Roman"/>
                <w:sz w:val="20"/>
                <w:szCs w:val="20"/>
                <w:lang w:val="id-ID"/>
              </w:rPr>
            </w:pPr>
            <w:r w:rsidRPr="00A51F09">
              <w:rPr>
                <w:rFonts w:cs="Times New Roman"/>
                <w:sz w:val="20"/>
                <w:szCs w:val="20"/>
              </w:rPr>
              <w:t>3 ± 0.389</w:t>
            </w:r>
            <w:r w:rsidRPr="00A51F09">
              <w:rPr>
                <w:rFonts w:cs="Times New Roman"/>
                <w:sz w:val="20"/>
                <w:szCs w:val="20"/>
                <w:vertAlign w:val="superscript"/>
              </w:rPr>
              <w:t>a</w:t>
            </w:r>
          </w:p>
        </w:tc>
        <w:tc>
          <w:tcPr>
            <w:tcW w:w="1592" w:type="dxa"/>
            <w:tcBorders>
              <w:top w:val="nil"/>
              <w:bottom w:val="single" w:sz="4" w:space="0" w:color="auto"/>
              <w:right w:val="nil"/>
            </w:tcBorders>
            <w:vAlign w:val="center"/>
          </w:tcPr>
          <w:p w14:paraId="6543D9C4" w14:textId="77777777" w:rsidR="00CC1794" w:rsidRPr="00A51F09" w:rsidRDefault="00CC1794" w:rsidP="00F75387">
            <w:pPr>
              <w:jc w:val="center"/>
              <w:rPr>
                <w:rFonts w:cs="Times New Roman"/>
                <w:sz w:val="20"/>
                <w:szCs w:val="20"/>
                <w:lang w:val="id-ID"/>
              </w:rPr>
            </w:pPr>
            <w:r w:rsidRPr="00A51F09">
              <w:rPr>
                <w:rFonts w:cs="Times New Roman"/>
                <w:sz w:val="20"/>
                <w:szCs w:val="20"/>
              </w:rPr>
              <w:t>3 ± 0.289</w:t>
            </w:r>
            <w:r w:rsidRPr="00A51F09">
              <w:rPr>
                <w:rFonts w:cs="Times New Roman"/>
                <w:sz w:val="20"/>
                <w:szCs w:val="20"/>
                <w:vertAlign w:val="superscript"/>
              </w:rPr>
              <w:t>a</w:t>
            </w:r>
          </w:p>
        </w:tc>
      </w:tr>
      <w:tr w:rsidR="00CC1794" w:rsidRPr="00A51F09" w14:paraId="3E350FDA" w14:textId="77777777" w:rsidTr="00F75387">
        <w:trPr>
          <w:jc w:val="center"/>
        </w:trPr>
        <w:tc>
          <w:tcPr>
            <w:tcW w:w="1985" w:type="dxa"/>
            <w:tcBorders>
              <w:top w:val="single" w:sz="4" w:space="0" w:color="auto"/>
              <w:left w:val="nil"/>
              <w:bottom w:val="nil"/>
            </w:tcBorders>
          </w:tcPr>
          <w:p w14:paraId="42719E56" w14:textId="16C8060E" w:rsidR="00CC1794" w:rsidRPr="00A51F09" w:rsidRDefault="008B1E1E" w:rsidP="00F75387">
            <w:pPr>
              <w:rPr>
                <w:rFonts w:cs="Times New Roman"/>
                <w:sz w:val="20"/>
                <w:szCs w:val="20"/>
              </w:rPr>
            </w:pPr>
            <w:r>
              <w:rPr>
                <w:rFonts w:cs="Times New Roman"/>
                <w:sz w:val="20"/>
                <w:szCs w:val="20"/>
              </w:rPr>
              <w:t>Aerobic Exposure</w:t>
            </w:r>
          </w:p>
        </w:tc>
        <w:tc>
          <w:tcPr>
            <w:tcW w:w="1217" w:type="dxa"/>
            <w:tcBorders>
              <w:top w:val="single" w:sz="4" w:space="0" w:color="auto"/>
              <w:left w:val="nil"/>
              <w:bottom w:val="nil"/>
            </w:tcBorders>
            <w:vAlign w:val="center"/>
          </w:tcPr>
          <w:p w14:paraId="1BD4167F" w14:textId="5F42776B" w:rsidR="00CC1794" w:rsidRPr="00A51F09" w:rsidRDefault="008B1E1E" w:rsidP="00F75387">
            <w:pPr>
              <w:rPr>
                <w:rFonts w:cs="Times New Roman"/>
                <w:sz w:val="20"/>
                <w:szCs w:val="20"/>
              </w:rPr>
            </w:pPr>
            <w:r>
              <w:rPr>
                <w:rFonts w:cs="Times New Roman"/>
                <w:sz w:val="20"/>
                <w:szCs w:val="20"/>
              </w:rPr>
              <w:t>Color</w:t>
            </w:r>
            <w:r w:rsidR="00CC1794" w:rsidRPr="00A51F09">
              <w:rPr>
                <w:rFonts w:cs="Times New Roman"/>
                <w:sz w:val="20"/>
                <w:szCs w:val="20"/>
              </w:rPr>
              <w:t>*</w:t>
            </w:r>
          </w:p>
        </w:tc>
        <w:tc>
          <w:tcPr>
            <w:tcW w:w="1625" w:type="dxa"/>
            <w:tcBorders>
              <w:top w:val="single" w:sz="4" w:space="0" w:color="auto"/>
              <w:bottom w:val="nil"/>
            </w:tcBorders>
            <w:vAlign w:val="center"/>
          </w:tcPr>
          <w:p w14:paraId="326FC407" w14:textId="77777777" w:rsidR="00CC1794" w:rsidRPr="00A51F09" w:rsidRDefault="00CC1794" w:rsidP="00F75387">
            <w:pPr>
              <w:jc w:val="center"/>
              <w:rPr>
                <w:rFonts w:cs="Times New Roman"/>
                <w:sz w:val="20"/>
                <w:szCs w:val="20"/>
              </w:rPr>
            </w:pPr>
            <w:r w:rsidRPr="00A51F09">
              <w:rPr>
                <w:rFonts w:cs="Times New Roman"/>
                <w:sz w:val="20"/>
                <w:szCs w:val="20"/>
              </w:rPr>
              <w:t>2 ± 0.522</w:t>
            </w:r>
            <w:r w:rsidRPr="00A51F09">
              <w:rPr>
                <w:rFonts w:cs="Times New Roman"/>
                <w:sz w:val="20"/>
                <w:szCs w:val="20"/>
                <w:vertAlign w:val="superscript"/>
              </w:rPr>
              <w:t>a</w:t>
            </w:r>
          </w:p>
        </w:tc>
        <w:tc>
          <w:tcPr>
            <w:tcW w:w="1592" w:type="dxa"/>
            <w:tcBorders>
              <w:top w:val="single" w:sz="4" w:space="0" w:color="auto"/>
              <w:bottom w:val="nil"/>
            </w:tcBorders>
            <w:vAlign w:val="center"/>
          </w:tcPr>
          <w:p w14:paraId="04C01BBC" w14:textId="77777777" w:rsidR="00CC1794" w:rsidRPr="00A51F09" w:rsidRDefault="00CC1794" w:rsidP="00F75387">
            <w:pPr>
              <w:jc w:val="center"/>
              <w:rPr>
                <w:rFonts w:cs="Times New Roman"/>
                <w:sz w:val="20"/>
                <w:szCs w:val="20"/>
              </w:rPr>
            </w:pPr>
            <w:r w:rsidRPr="00A51F09">
              <w:rPr>
                <w:rFonts w:cs="Times New Roman"/>
                <w:sz w:val="20"/>
                <w:szCs w:val="20"/>
              </w:rPr>
              <w:t>3 ± 0.522</w:t>
            </w:r>
            <w:r w:rsidRPr="00A51F09">
              <w:rPr>
                <w:rFonts w:cs="Times New Roman"/>
                <w:sz w:val="20"/>
                <w:szCs w:val="20"/>
                <w:vertAlign w:val="superscript"/>
              </w:rPr>
              <w:t>b</w:t>
            </w:r>
          </w:p>
        </w:tc>
        <w:tc>
          <w:tcPr>
            <w:tcW w:w="1592" w:type="dxa"/>
            <w:tcBorders>
              <w:top w:val="single" w:sz="4" w:space="0" w:color="auto"/>
              <w:bottom w:val="nil"/>
              <w:right w:val="nil"/>
            </w:tcBorders>
            <w:vAlign w:val="center"/>
          </w:tcPr>
          <w:p w14:paraId="58F4B0F2" w14:textId="77777777" w:rsidR="00CC1794" w:rsidRPr="00A51F09" w:rsidRDefault="00CC1794" w:rsidP="00F75387">
            <w:pPr>
              <w:jc w:val="center"/>
              <w:rPr>
                <w:rFonts w:cs="Times New Roman"/>
                <w:sz w:val="20"/>
                <w:szCs w:val="20"/>
              </w:rPr>
            </w:pPr>
            <w:r w:rsidRPr="00A51F09">
              <w:rPr>
                <w:rFonts w:cs="Times New Roman"/>
                <w:sz w:val="20"/>
                <w:szCs w:val="20"/>
              </w:rPr>
              <w:t>3 ± 0.515</w:t>
            </w:r>
            <w:r w:rsidRPr="00A51F09">
              <w:rPr>
                <w:rFonts w:cs="Times New Roman"/>
                <w:sz w:val="20"/>
                <w:szCs w:val="20"/>
                <w:vertAlign w:val="superscript"/>
              </w:rPr>
              <w:t>b</w:t>
            </w:r>
          </w:p>
        </w:tc>
      </w:tr>
      <w:tr w:rsidR="00CC1794" w:rsidRPr="00A51F09" w14:paraId="41B8346B" w14:textId="77777777" w:rsidTr="00F75387">
        <w:trPr>
          <w:jc w:val="center"/>
        </w:trPr>
        <w:tc>
          <w:tcPr>
            <w:tcW w:w="1985" w:type="dxa"/>
            <w:tcBorders>
              <w:top w:val="nil"/>
              <w:left w:val="nil"/>
              <w:bottom w:val="nil"/>
            </w:tcBorders>
          </w:tcPr>
          <w:p w14:paraId="14ADF32B" w14:textId="77777777" w:rsidR="00CC1794" w:rsidRPr="00A51F09" w:rsidRDefault="00CC1794" w:rsidP="00F75387">
            <w:pPr>
              <w:rPr>
                <w:rFonts w:cs="Times New Roman"/>
                <w:sz w:val="20"/>
                <w:szCs w:val="20"/>
              </w:rPr>
            </w:pPr>
          </w:p>
        </w:tc>
        <w:tc>
          <w:tcPr>
            <w:tcW w:w="1217" w:type="dxa"/>
            <w:tcBorders>
              <w:top w:val="nil"/>
              <w:left w:val="nil"/>
              <w:bottom w:val="nil"/>
            </w:tcBorders>
            <w:vAlign w:val="center"/>
          </w:tcPr>
          <w:p w14:paraId="70566B58" w14:textId="77777777" w:rsidR="00CC1794" w:rsidRPr="00A51F09" w:rsidRDefault="00CC1794" w:rsidP="00F75387">
            <w:pPr>
              <w:rPr>
                <w:rFonts w:cs="Times New Roman"/>
                <w:sz w:val="20"/>
                <w:szCs w:val="20"/>
              </w:rPr>
            </w:pPr>
            <w:r w:rsidRPr="00A51F09">
              <w:rPr>
                <w:rFonts w:cs="Times New Roman"/>
                <w:sz w:val="20"/>
                <w:szCs w:val="20"/>
              </w:rPr>
              <w:t>Aroma**</w:t>
            </w:r>
          </w:p>
        </w:tc>
        <w:tc>
          <w:tcPr>
            <w:tcW w:w="1625" w:type="dxa"/>
            <w:tcBorders>
              <w:top w:val="nil"/>
              <w:bottom w:val="nil"/>
            </w:tcBorders>
            <w:vAlign w:val="center"/>
          </w:tcPr>
          <w:p w14:paraId="3E610E0C" w14:textId="77777777" w:rsidR="00CC1794" w:rsidRPr="00A51F09" w:rsidRDefault="00CC1794" w:rsidP="00F75387">
            <w:pPr>
              <w:jc w:val="center"/>
              <w:rPr>
                <w:rFonts w:cs="Times New Roman"/>
                <w:sz w:val="20"/>
                <w:szCs w:val="20"/>
              </w:rPr>
            </w:pPr>
            <w:r w:rsidRPr="00A51F09">
              <w:rPr>
                <w:rFonts w:cs="Times New Roman"/>
                <w:sz w:val="20"/>
                <w:szCs w:val="20"/>
              </w:rPr>
              <w:t>2 ± 0.515</w:t>
            </w:r>
            <w:r w:rsidRPr="00A51F09">
              <w:rPr>
                <w:rFonts w:cs="Times New Roman"/>
                <w:sz w:val="20"/>
                <w:szCs w:val="20"/>
                <w:vertAlign w:val="superscript"/>
              </w:rPr>
              <w:t>a</w:t>
            </w:r>
          </w:p>
        </w:tc>
        <w:tc>
          <w:tcPr>
            <w:tcW w:w="1592" w:type="dxa"/>
            <w:tcBorders>
              <w:top w:val="nil"/>
              <w:bottom w:val="nil"/>
            </w:tcBorders>
            <w:vAlign w:val="center"/>
          </w:tcPr>
          <w:p w14:paraId="2C64BE99" w14:textId="77777777" w:rsidR="00CC1794" w:rsidRPr="00A51F09" w:rsidRDefault="00CC1794" w:rsidP="00F75387">
            <w:pPr>
              <w:jc w:val="center"/>
              <w:rPr>
                <w:rFonts w:cs="Times New Roman"/>
                <w:sz w:val="20"/>
                <w:szCs w:val="20"/>
              </w:rPr>
            </w:pPr>
            <w:r w:rsidRPr="00A51F09">
              <w:rPr>
                <w:rFonts w:cs="Times New Roman"/>
                <w:sz w:val="20"/>
                <w:szCs w:val="20"/>
              </w:rPr>
              <w:t>3 ± 0.577</w:t>
            </w:r>
            <w:r w:rsidRPr="00A51F09">
              <w:rPr>
                <w:rFonts w:cs="Times New Roman"/>
                <w:sz w:val="20"/>
                <w:szCs w:val="20"/>
                <w:vertAlign w:val="superscript"/>
              </w:rPr>
              <w:t>b</w:t>
            </w:r>
          </w:p>
        </w:tc>
        <w:tc>
          <w:tcPr>
            <w:tcW w:w="1592" w:type="dxa"/>
            <w:tcBorders>
              <w:top w:val="nil"/>
              <w:bottom w:val="nil"/>
              <w:right w:val="nil"/>
            </w:tcBorders>
            <w:vAlign w:val="center"/>
          </w:tcPr>
          <w:p w14:paraId="2FF0BE10" w14:textId="77777777" w:rsidR="00CC1794" w:rsidRPr="00A51F09" w:rsidRDefault="00CC1794" w:rsidP="00F75387">
            <w:pPr>
              <w:jc w:val="center"/>
              <w:rPr>
                <w:rFonts w:cs="Times New Roman"/>
                <w:sz w:val="20"/>
                <w:szCs w:val="20"/>
              </w:rPr>
            </w:pPr>
            <w:r w:rsidRPr="00A51F09">
              <w:rPr>
                <w:rFonts w:cs="Times New Roman"/>
                <w:sz w:val="20"/>
                <w:szCs w:val="20"/>
              </w:rPr>
              <w:t>3 ± 0.452</w:t>
            </w:r>
            <w:r w:rsidRPr="00A51F09">
              <w:rPr>
                <w:rFonts w:cs="Times New Roman"/>
                <w:sz w:val="20"/>
                <w:szCs w:val="20"/>
                <w:vertAlign w:val="superscript"/>
              </w:rPr>
              <w:t>b</w:t>
            </w:r>
          </w:p>
        </w:tc>
      </w:tr>
      <w:tr w:rsidR="00CC1794" w:rsidRPr="00A51F09" w14:paraId="7E87E207" w14:textId="77777777" w:rsidTr="00F75387">
        <w:trPr>
          <w:jc w:val="center"/>
        </w:trPr>
        <w:tc>
          <w:tcPr>
            <w:tcW w:w="1985" w:type="dxa"/>
            <w:tcBorders>
              <w:top w:val="nil"/>
              <w:left w:val="nil"/>
              <w:bottom w:val="single" w:sz="4" w:space="0" w:color="auto"/>
            </w:tcBorders>
            <w:shd w:val="clear" w:color="auto" w:fill="auto"/>
          </w:tcPr>
          <w:p w14:paraId="52BFC715" w14:textId="77777777" w:rsidR="00CC1794" w:rsidRPr="00A51F09" w:rsidRDefault="00CC1794" w:rsidP="00F75387">
            <w:pPr>
              <w:rPr>
                <w:rFonts w:cs="Times New Roman"/>
                <w:sz w:val="20"/>
                <w:szCs w:val="20"/>
              </w:rPr>
            </w:pPr>
          </w:p>
        </w:tc>
        <w:tc>
          <w:tcPr>
            <w:tcW w:w="1217" w:type="dxa"/>
            <w:tcBorders>
              <w:top w:val="nil"/>
              <w:left w:val="nil"/>
              <w:bottom w:val="single" w:sz="4" w:space="0" w:color="auto"/>
            </w:tcBorders>
            <w:shd w:val="clear" w:color="auto" w:fill="auto"/>
            <w:vAlign w:val="center"/>
          </w:tcPr>
          <w:p w14:paraId="22456525" w14:textId="63F1FD7D" w:rsidR="00CC1794" w:rsidRPr="00A51F09" w:rsidRDefault="008B1E1E" w:rsidP="00F75387">
            <w:pPr>
              <w:rPr>
                <w:rFonts w:cs="Times New Roman"/>
                <w:sz w:val="20"/>
                <w:szCs w:val="20"/>
              </w:rPr>
            </w:pPr>
            <w:r>
              <w:rPr>
                <w:rFonts w:cs="Times New Roman"/>
                <w:sz w:val="20"/>
                <w:szCs w:val="20"/>
              </w:rPr>
              <w:t>Texture</w:t>
            </w:r>
            <w:r w:rsidR="00CC1794" w:rsidRPr="00A51F09">
              <w:rPr>
                <w:rFonts w:cs="Times New Roman"/>
                <w:sz w:val="20"/>
                <w:szCs w:val="20"/>
              </w:rPr>
              <w:t>***</w:t>
            </w:r>
          </w:p>
        </w:tc>
        <w:tc>
          <w:tcPr>
            <w:tcW w:w="1625" w:type="dxa"/>
            <w:tcBorders>
              <w:top w:val="nil"/>
              <w:bottom w:val="single" w:sz="4" w:space="0" w:color="auto"/>
            </w:tcBorders>
            <w:shd w:val="clear" w:color="auto" w:fill="auto"/>
            <w:vAlign w:val="center"/>
          </w:tcPr>
          <w:p w14:paraId="5B460139" w14:textId="77777777" w:rsidR="00CC1794" w:rsidRPr="00A51F09" w:rsidRDefault="00CC1794" w:rsidP="00F75387">
            <w:pPr>
              <w:jc w:val="center"/>
              <w:rPr>
                <w:rFonts w:cs="Times New Roman"/>
                <w:sz w:val="20"/>
                <w:szCs w:val="20"/>
              </w:rPr>
            </w:pPr>
            <w:r w:rsidRPr="00A51F09">
              <w:rPr>
                <w:rFonts w:cs="Times New Roman"/>
                <w:sz w:val="20"/>
                <w:szCs w:val="20"/>
              </w:rPr>
              <w:t>3 ± 0.389</w:t>
            </w:r>
            <w:r w:rsidRPr="00A51F09">
              <w:rPr>
                <w:rFonts w:cs="Times New Roman"/>
                <w:sz w:val="20"/>
                <w:szCs w:val="20"/>
                <w:vertAlign w:val="superscript"/>
              </w:rPr>
              <w:t>a</w:t>
            </w:r>
          </w:p>
        </w:tc>
        <w:tc>
          <w:tcPr>
            <w:tcW w:w="1592" w:type="dxa"/>
            <w:tcBorders>
              <w:top w:val="nil"/>
              <w:bottom w:val="single" w:sz="4" w:space="0" w:color="auto"/>
            </w:tcBorders>
            <w:shd w:val="clear" w:color="auto" w:fill="auto"/>
            <w:vAlign w:val="center"/>
          </w:tcPr>
          <w:p w14:paraId="27A9DE2C" w14:textId="77777777" w:rsidR="00CC1794" w:rsidRPr="00A51F09" w:rsidRDefault="00CC1794" w:rsidP="00F75387">
            <w:pPr>
              <w:jc w:val="center"/>
              <w:rPr>
                <w:rFonts w:cs="Times New Roman"/>
                <w:sz w:val="20"/>
                <w:szCs w:val="20"/>
              </w:rPr>
            </w:pPr>
            <w:r w:rsidRPr="00A51F09">
              <w:rPr>
                <w:rFonts w:cs="Times New Roman"/>
                <w:sz w:val="20"/>
                <w:szCs w:val="20"/>
              </w:rPr>
              <w:t>3 ± 0.389</w:t>
            </w:r>
            <w:r w:rsidRPr="00A51F09">
              <w:rPr>
                <w:rFonts w:cs="Times New Roman"/>
                <w:sz w:val="20"/>
                <w:szCs w:val="20"/>
                <w:vertAlign w:val="superscript"/>
              </w:rPr>
              <w:t>a</w:t>
            </w:r>
          </w:p>
        </w:tc>
        <w:tc>
          <w:tcPr>
            <w:tcW w:w="1592" w:type="dxa"/>
            <w:tcBorders>
              <w:top w:val="nil"/>
              <w:bottom w:val="single" w:sz="4" w:space="0" w:color="auto"/>
              <w:right w:val="nil"/>
            </w:tcBorders>
            <w:shd w:val="clear" w:color="auto" w:fill="auto"/>
            <w:vAlign w:val="center"/>
          </w:tcPr>
          <w:p w14:paraId="3ABCF821" w14:textId="77777777" w:rsidR="00CC1794" w:rsidRPr="00A51F09" w:rsidRDefault="00CC1794" w:rsidP="00F75387">
            <w:pPr>
              <w:jc w:val="center"/>
              <w:rPr>
                <w:rFonts w:cs="Times New Roman"/>
                <w:sz w:val="20"/>
                <w:szCs w:val="20"/>
              </w:rPr>
            </w:pPr>
            <w:r w:rsidRPr="00A51F09">
              <w:rPr>
                <w:rFonts w:cs="Times New Roman"/>
                <w:sz w:val="20"/>
                <w:szCs w:val="20"/>
              </w:rPr>
              <w:t>3 ± 0.389</w:t>
            </w:r>
            <w:r w:rsidRPr="00A51F09">
              <w:rPr>
                <w:rFonts w:cs="Times New Roman"/>
                <w:sz w:val="20"/>
                <w:szCs w:val="20"/>
                <w:vertAlign w:val="superscript"/>
              </w:rPr>
              <w:t>a</w:t>
            </w:r>
          </w:p>
        </w:tc>
      </w:tr>
      <w:tr w:rsidR="00CC1794" w:rsidRPr="00A51F09" w14:paraId="40A832FB" w14:textId="77777777" w:rsidTr="00F75387">
        <w:trPr>
          <w:jc w:val="center"/>
        </w:trPr>
        <w:tc>
          <w:tcPr>
            <w:tcW w:w="1985" w:type="dxa"/>
            <w:tcBorders>
              <w:top w:val="single" w:sz="4" w:space="0" w:color="auto"/>
              <w:left w:val="nil"/>
              <w:bottom w:val="nil"/>
            </w:tcBorders>
            <w:shd w:val="clear" w:color="auto" w:fill="auto"/>
          </w:tcPr>
          <w:p w14:paraId="3DF710CB" w14:textId="77777777" w:rsidR="00CC1794" w:rsidRPr="00A51F09" w:rsidRDefault="00CC1794" w:rsidP="00F75387">
            <w:pPr>
              <w:rPr>
                <w:rFonts w:cs="Times New Roman"/>
                <w:sz w:val="20"/>
                <w:szCs w:val="20"/>
              </w:rPr>
            </w:pPr>
            <w:r w:rsidRPr="00A51F09">
              <w:rPr>
                <w:rFonts w:cs="Times New Roman"/>
                <w:sz w:val="20"/>
                <w:szCs w:val="20"/>
              </w:rPr>
              <w:t>Re-ensiling</w:t>
            </w:r>
          </w:p>
        </w:tc>
        <w:tc>
          <w:tcPr>
            <w:tcW w:w="1217" w:type="dxa"/>
            <w:tcBorders>
              <w:top w:val="single" w:sz="4" w:space="0" w:color="auto"/>
              <w:left w:val="nil"/>
              <w:bottom w:val="nil"/>
            </w:tcBorders>
            <w:shd w:val="clear" w:color="auto" w:fill="auto"/>
            <w:vAlign w:val="center"/>
          </w:tcPr>
          <w:p w14:paraId="4A4C051A" w14:textId="0760614D" w:rsidR="00CC1794" w:rsidRPr="00A51F09" w:rsidRDefault="008B1E1E" w:rsidP="00F75387">
            <w:pPr>
              <w:rPr>
                <w:rFonts w:cs="Times New Roman"/>
                <w:sz w:val="20"/>
                <w:szCs w:val="20"/>
              </w:rPr>
            </w:pPr>
            <w:r>
              <w:rPr>
                <w:rFonts w:cs="Times New Roman"/>
                <w:sz w:val="20"/>
                <w:szCs w:val="20"/>
              </w:rPr>
              <w:t>Color</w:t>
            </w:r>
            <w:r w:rsidR="00CC1794" w:rsidRPr="00A51F09">
              <w:rPr>
                <w:rFonts w:cs="Times New Roman"/>
                <w:sz w:val="20"/>
                <w:szCs w:val="20"/>
              </w:rPr>
              <w:t>*</w:t>
            </w:r>
          </w:p>
        </w:tc>
        <w:tc>
          <w:tcPr>
            <w:tcW w:w="1625" w:type="dxa"/>
            <w:tcBorders>
              <w:top w:val="single" w:sz="4" w:space="0" w:color="auto"/>
              <w:bottom w:val="nil"/>
            </w:tcBorders>
            <w:shd w:val="clear" w:color="auto" w:fill="auto"/>
            <w:vAlign w:val="center"/>
          </w:tcPr>
          <w:p w14:paraId="616C899D" w14:textId="77777777" w:rsidR="00CC1794" w:rsidRPr="00A51F09" w:rsidRDefault="00CC1794" w:rsidP="00F75387">
            <w:pPr>
              <w:jc w:val="center"/>
              <w:rPr>
                <w:rFonts w:cs="Times New Roman"/>
                <w:sz w:val="20"/>
                <w:szCs w:val="20"/>
              </w:rPr>
            </w:pPr>
            <w:r w:rsidRPr="00A51F09">
              <w:rPr>
                <w:rFonts w:cs="Times New Roman"/>
                <w:sz w:val="20"/>
                <w:szCs w:val="20"/>
              </w:rPr>
              <w:t>2 ± 0.492</w:t>
            </w:r>
            <w:r w:rsidRPr="00A51F09">
              <w:rPr>
                <w:rFonts w:cs="Times New Roman"/>
                <w:sz w:val="20"/>
                <w:szCs w:val="20"/>
                <w:vertAlign w:val="superscript"/>
              </w:rPr>
              <w:t>a</w:t>
            </w:r>
          </w:p>
        </w:tc>
        <w:tc>
          <w:tcPr>
            <w:tcW w:w="1592" w:type="dxa"/>
            <w:tcBorders>
              <w:top w:val="single" w:sz="4" w:space="0" w:color="auto"/>
              <w:bottom w:val="nil"/>
            </w:tcBorders>
            <w:shd w:val="clear" w:color="auto" w:fill="auto"/>
            <w:vAlign w:val="center"/>
          </w:tcPr>
          <w:p w14:paraId="1BE83DB4" w14:textId="77777777" w:rsidR="00CC1794" w:rsidRPr="00A51F09" w:rsidRDefault="00CC1794" w:rsidP="00F75387">
            <w:pPr>
              <w:jc w:val="center"/>
              <w:rPr>
                <w:rFonts w:cs="Times New Roman"/>
                <w:sz w:val="20"/>
                <w:szCs w:val="20"/>
              </w:rPr>
            </w:pPr>
            <w:r w:rsidRPr="00A51F09">
              <w:rPr>
                <w:rFonts w:cs="Times New Roman"/>
                <w:sz w:val="20"/>
                <w:szCs w:val="20"/>
              </w:rPr>
              <w:t>3 ± 0.452</w:t>
            </w:r>
            <w:r w:rsidRPr="00A51F09">
              <w:rPr>
                <w:rFonts w:cs="Times New Roman"/>
                <w:sz w:val="20"/>
                <w:szCs w:val="20"/>
                <w:vertAlign w:val="superscript"/>
              </w:rPr>
              <w:t>a</w:t>
            </w:r>
          </w:p>
        </w:tc>
        <w:tc>
          <w:tcPr>
            <w:tcW w:w="1592" w:type="dxa"/>
            <w:tcBorders>
              <w:top w:val="single" w:sz="4" w:space="0" w:color="auto"/>
              <w:bottom w:val="nil"/>
              <w:right w:val="nil"/>
            </w:tcBorders>
            <w:shd w:val="clear" w:color="auto" w:fill="auto"/>
            <w:vAlign w:val="center"/>
          </w:tcPr>
          <w:p w14:paraId="3793EAEC" w14:textId="77777777" w:rsidR="00CC1794" w:rsidRPr="00A51F09" w:rsidRDefault="00CC1794" w:rsidP="00F75387">
            <w:pPr>
              <w:jc w:val="center"/>
              <w:rPr>
                <w:rFonts w:cs="Times New Roman"/>
                <w:sz w:val="20"/>
                <w:szCs w:val="20"/>
              </w:rPr>
            </w:pPr>
            <w:r w:rsidRPr="00A51F09">
              <w:rPr>
                <w:rFonts w:cs="Times New Roman"/>
                <w:sz w:val="20"/>
                <w:szCs w:val="20"/>
              </w:rPr>
              <w:t>3 ± 0.492</w:t>
            </w:r>
            <w:r w:rsidRPr="00A51F09">
              <w:rPr>
                <w:rFonts w:cs="Times New Roman"/>
                <w:sz w:val="20"/>
                <w:szCs w:val="20"/>
                <w:vertAlign w:val="superscript"/>
              </w:rPr>
              <w:t>a</w:t>
            </w:r>
          </w:p>
        </w:tc>
      </w:tr>
      <w:tr w:rsidR="00CC1794" w:rsidRPr="00A51F09" w14:paraId="69450A02" w14:textId="77777777" w:rsidTr="00F75387">
        <w:trPr>
          <w:jc w:val="center"/>
        </w:trPr>
        <w:tc>
          <w:tcPr>
            <w:tcW w:w="1985" w:type="dxa"/>
            <w:tcBorders>
              <w:top w:val="nil"/>
              <w:left w:val="nil"/>
              <w:bottom w:val="nil"/>
            </w:tcBorders>
            <w:shd w:val="clear" w:color="auto" w:fill="auto"/>
          </w:tcPr>
          <w:p w14:paraId="0FB89975" w14:textId="77777777" w:rsidR="00CC1794" w:rsidRPr="00A51F09" w:rsidRDefault="00CC1794" w:rsidP="00F75387">
            <w:pPr>
              <w:rPr>
                <w:rFonts w:cs="Times New Roman"/>
                <w:sz w:val="20"/>
                <w:szCs w:val="20"/>
              </w:rPr>
            </w:pPr>
          </w:p>
        </w:tc>
        <w:tc>
          <w:tcPr>
            <w:tcW w:w="1217" w:type="dxa"/>
            <w:tcBorders>
              <w:top w:val="nil"/>
              <w:left w:val="nil"/>
              <w:bottom w:val="nil"/>
            </w:tcBorders>
            <w:shd w:val="clear" w:color="auto" w:fill="auto"/>
            <w:vAlign w:val="center"/>
          </w:tcPr>
          <w:p w14:paraId="37E3E1EA" w14:textId="77777777" w:rsidR="00CC1794" w:rsidRPr="00A51F09" w:rsidRDefault="00CC1794" w:rsidP="00F75387">
            <w:pPr>
              <w:rPr>
                <w:rFonts w:cs="Times New Roman"/>
                <w:sz w:val="20"/>
                <w:szCs w:val="20"/>
              </w:rPr>
            </w:pPr>
            <w:r w:rsidRPr="00A51F09">
              <w:rPr>
                <w:rFonts w:cs="Times New Roman"/>
                <w:sz w:val="20"/>
                <w:szCs w:val="20"/>
              </w:rPr>
              <w:t>Aroma**</w:t>
            </w:r>
          </w:p>
        </w:tc>
        <w:tc>
          <w:tcPr>
            <w:tcW w:w="1625" w:type="dxa"/>
            <w:tcBorders>
              <w:top w:val="nil"/>
              <w:bottom w:val="nil"/>
            </w:tcBorders>
            <w:shd w:val="clear" w:color="auto" w:fill="auto"/>
            <w:vAlign w:val="center"/>
          </w:tcPr>
          <w:p w14:paraId="3C5EA1A1" w14:textId="77777777" w:rsidR="00CC1794" w:rsidRPr="00A51F09" w:rsidRDefault="00CC1794" w:rsidP="00F75387">
            <w:pPr>
              <w:jc w:val="center"/>
              <w:rPr>
                <w:rFonts w:cs="Times New Roman"/>
                <w:sz w:val="20"/>
                <w:szCs w:val="20"/>
              </w:rPr>
            </w:pPr>
            <w:r w:rsidRPr="00A51F09">
              <w:rPr>
                <w:rFonts w:cs="Times New Roman"/>
                <w:sz w:val="20"/>
                <w:szCs w:val="20"/>
              </w:rPr>
              <w:t>3 ± 0.452</w:t>
            </w:r>
            <w:r w:rsidRPr="00A51F09">
              <w:rPr>
                <w:rFonts w:cs="Times New Roman"/>
                <w:sz w:val="20"/>
                <w:szCs w:val="20"/>
                <w:vertAlign w:val="superscript"/>
              </w:rPr>
              <w:t>a</w:t>
            </w:r>
          </w:p>
        </w:tc>
        <w:tc>
          <w:tcPr>
            <w:tcW w:w="1592" w:type="dxa"/>
            <w:tcBorders>
              <w:top w:val="nil"/>
              <w:bottom w:val="nil"/>
            </w:tcBorders>
            <w:shd w:val="clear" w:color="auto" w:fill="auto"/>
            <w:vAlign w:val="center"/>
          </w:tcPr>
          <w:p w14:paraId="156B6C3E" w14:textId="77777777" w:rsidR="00CC1794" w:rsidRPr="00A51F09" w:rsidRDefault="00CC1794" w:rsidP="00F75387">
            <w:pPr>
              <w:jc w:val="center"/>
              <w:rPr>
                <w:rFonts w:cs="Times New Roman"/>
                <w:sz w:val="20"/>
                <w:szCs w:val="20"/>
              </w:rPr>
            </w:pPr>
            <w:r w:rsidRPr="00A51F09">
              <w:rPr>
                <w:rFonts w:cs="Times New Roman"/>
                <w:sz w:val="20"/>
                <w:szCs w:val="20"/>
              </w:rPr>
              <w:t>3 ± 0.452</w:t>
            </w:r>
            <w:r w:rsidRPr="00A51F09">
              <w:rPr>
                <w:rFonts w:cs="Times New Roman"/>
                <w:sz w:val="20"/>
                <w:szCs w:val="20"/>
                <w:vertAlign w:val="superscript"/>
              </w:rPr>
              <w:t>a</w:t>
            </w:r>
          </w:p>
        </w:tc>
        <w:tc>
          <w:tcPr>
            <w:tcW w:w="1592" w:type="dxa"/>
            <w:tcBorders>
              <w:top w:val="nil"/>
              <w:bottom w:val="nil"/>
              <w:right w:val="nil"/>
            </w:tcBorders>
            <w:shd w:val="clear" w:color="auto" w:fill="auto"/>
            <w:vAlign w:val="center"/>
          </w:tcPr>
          <w:p w14:paraId="55243654" w14:textId="77777777" w:rsidR="00CC1794" w:rsidRPr="00A51F09" w:rsidRDefault="00CC1794" w:rsidP="00F75387">
            <w:pPr>
              <w:jc w:val="center"/>
              <w:rPr>
                <w:rFonts w:cs="Times New Roman"/>
                <w:sz w:val="20"/>
                <w:szCs w:val="20"/>
              </w:rPr>
            </w:pPr>
            <w:r w:rsidRPr="00A51F09">
              <w:rPr>
                <w:rFonts w:cs="Times New Roman"/>
                <w:sz w:val="20"/>
                <w:szCs w:val="20"/>
              </w:rPr>
              <w:t>3 ± 0.452</w:t>
            </w:r>
            <w:r w:rsidRPr="00A51F09">
              <w:rPr>
                <w:rFonts w:cs="Times New Roman"/>
                <w:sz w:val="20"/>
                <w:szCs w:val="20"/>
                <w:vertAlign w:val="superscript"/>
              </w:rPr>
              <w:t>a</w:t>
            </w:r>
          </w:p>
        </w:tc>
      </w:tr>
      <w:tr w:rsidR="00CC1794" w:rsidRPr="00A51F09" w14:paraId="025BA9F6" w14:textId="77777777" w:rsidTr="00F75387">
        <w:trPr>
          <w:jc w:val="center"/>
        </w:trPr>
        <w:tc>
          <w:tcPr>
            <w:tcW w:w="1985" w:type="dxa"/>
            <w:tcBorders>
              <w:top w:val="nil"/>
              <w:left w:val="nil"/>
              <w:bottom w:val="single" w:sz="4" w:space="0" w:color="auto"/>
            </w:tcBorders>
            <w:shd w:val="clear" w:color="auto" w:fill="auto"/>
          </w:tcPr>
          <w:p w14:paraId="189DD23C" w14:textId="77777777" w:rsidR="00CC1794" w:rsidRPr="00A51F09" w:rsidRDefault="00CC1794" w:rsidP="00F75387">
            <w:pPr>
              <w:rPr>
                <w:rFonts w:cs="Times New Roman"/>
                <w:sz w:val="20"/>
                <w:szCs w:val="20"/>
              </w:rPr>
            </w:pPr>
          </w:p>
        </w:tc>
        <w:tc>
          <w:tcPr>
            <w:tcW w:w="1217" w:type="dxa"/>
            <w:tcBorders>
              <w:top w:val="nil"/>
              <w:left w:val="nil"/>
              <w:bottom w:val="single" w:sz="4" w:space="0" w:color="auto"/>
            </w:tcBorders>
            <w:shd w:val="clear" w:color="auto" w:fill="auto"/>
            <w:vAlign w:val="center"/>
          </w:tcPr>
          <w:p w14:paraId="799703A9" w14:textId="0EA49713" w:rsidR="00CC1794" w:rsidRPr="00A51F09" w:rsidRDefault="008B1E1E" w:rsidP="00F75387">
            <w:pPr>
              <w:rPr>
                <w:rFonts w:cs="Times New Roman"/>
                <w:sz w:val="20"/>
                <w:szCs w:val="20"/>
              </w:rPr>
            </w:pPr>
            <w:r>
              <w:rPr>
                <w:rFonts w:cs="Times New Roman"/>
                <w:sz w:val="20"/>
                <w:szCs w:val="20"/>
              </w:rPr>
              <w:t>Texture</w:t>
            </w:r>
            <w:r w:rsidR="00CC1794" w:rsidRPr="00A51F09">
              <w:rPr>
                <w:rFonts w:cs="Times New Roman"/>
                <w:sz w:val="20"/>
                <w:szCs w:val="20"/>
              </w:rPr>
              <w:t>***</w:t>
            </w:r>
          </w:p>
        </w:tc>
        <w:tc>
          <w:tcPr>
            <w:tcW w:w="1625" w:type="dxa"/>
            <w:tcBorders>
              <w:top w:val="nil"/>
              <w:bottom w:val="single" w:sz="4" w:space="0" w:color="auto"/>
            </w:tcBorders>
            <w:shd w:val="clear" w:color="auto" w:fill="auto"/>
            <w:vAlign w:val="center"/>
          </w:tcPr>
          <w:p w14:paraId="31746F9E" w14:textId="77777777" w:rsidR="00CC1794" w:rsidRPr="00A51F09" w:rsidRDefault="00CC1794" w:rsidP="00F75387">
            <w:pPr>
              <w:jc w:val="center"/>
              <w:rPr>
                <w:rFonts w:cs="Times New Roman"/>
                <w:sz w:val="20"/>
                <w:szCs w:val="20"/>
              </w:rPr>
            </w:pPr>
            <w:r w:rsidRPr="00A51F09">
              <w:rPr>
                <w:rFonts w:cs="Times New Roman"/>
                <w:sz w:val="20"/>
                <w:szCs w:val="20"/>
              </w:rPr>
              <w:t>3 ± 0.515</w:t>
            </w:r>
            <w:r w:rsidRPr="00A51F09">
              <w:rPr>
                <w:rFonts w:cs="Times New Roman"/>
                <w:sz w:val="20"/>
                <w:szCs w:val="20"/>
                <w:vertAlign w:val="superscript"/>
              </w:rPr>
              <w:t>a</w:t>
            </w:r>
          </w:p>
        </w:tc>
        <w:tc>
          <w:tcPr>
            <w:tcW w:w="1592" w:type="dxa"/>
            <w:tcBorders>
              <w:top w:val="nil"/>
              <w:bottom w:val="single" w:sz="4" w:space="0" w:color="auto"/>
            </w:tcBorders>
            <w:shd w:val="clear" w:color="auto" w:fill="auto"/>
            <w:vAlign w:val="center"/>
          </w:tcPr>
          <w:p w14:paraId="5AEAD8BD" w14:textId="77777777" w:rsidR="00CC1794" w:rsidRPr="00A51F09" w:rsidRDefault="00CC1794" w:rsidP="00F75387">
            <w:pPr>
              <w:jc w:val="center"/>
              <w:rPr>
                <w:rFonts w:cs="Times New Roman"/>
                <w:sz w:val="20"/>
                <w:szCs w:val="20"/>
              </w:rPr>
            </w:pPr>
            <w:r w:rsidRPr="00A51F09">
              <w:rPr>
                <w:rFonts w:cs="Times New Roman"/>
                <w:sz w:val="20"/>
                <w:szCs w:val="20"/>
              </w:rPr>
              <w:t>3 ± 0.389</w:t>
            </w:r>
            <w:r w:rsidRPr="00A51F09">
              <w:rPr>
                <w:rFonts w:cs="Times New Roman"/>
                <w:sz w:val="20"/>
                <w:szCs w:val="20"/>
                <w:vertAlign w:val="superscript"/>
              </w:rPr>
              <w:t>a</w:t>
            </w:r>
          </w:p>
        </w:tc>
        <w:tc>
          <w:tcPr>
            <w:tcW w:w="1592" w:type="dxa"/>
            <w:tcBorders>
              <w:top w:val="nil"/>
              <w:bottom w:val="single" w:sz="4" w:space="0" w:color="auto"/>
              <w:right w:val="nil"/>
            </w:tcBorders>
            <w:shd w:val="clear" w:color="auto" w:fill="auto"/>
            <w:vAlign w:val="center"/>
          </w:tcPr>
          <w:p w14:paraId="7E89AA6A" w14:textId="77777777" w:rsidR="00CC1794" w:rsidRPr="00A51F09" w:rsidRDefault="00CC1794" w:rsidP="00F75387">
            <w:pPr>
              <w:jc w:val="center"/>
              <w:rPr>
                <w:rFonts w:cs="Times New Roman"/>
                <w:sz w:val="20"/>
                <w:szCs w:val="20"/>
              </w:rPr>
            </w:pPr>
            <w:r w:rsidRPr="00A51F09">
              <w:rPr>
                <w:rFonts w:cs="Times New Roman"/>
                <w:sz w:val="20"/>
                <w:szCs w:val="20"/>
              </w:rPr>
              <w:t>3 ± 0.289</w:t>
            </w:r>
            <w:r w:rsidRPr="00A51F09">
              <w:rPr>
                <w:rFonts w:cs="Times New Roman"/>
                <w:sz w:val="20"/>
                <w:szCs w:val="20"/>
                <w:vertAlign w:val="superscript"/>
              </w:rPr>
              <w:t>a</w:t>
            </w:r>
          </w:p>
        </w:tc>
      </w:tr>
    </w:tbl>
    <w:p w14:paraId="1193E2D0" w14:textId="7DCE2ED1" w:rsidR="00CC1794" w:rsidRPr="00A51F09" w:rsidRDefault="008B1E1E" w:rsidP="00CC1794">
      <w:pPr>
        <w:rPr>
          <w:sz w:val="20"/>
          <w:szCs w:val="18"/>
        </w:rPr>
      </w:pPr>
      <w:r>
        <w:rPr>
          <w:sz w:val="20"/>
          <w:szCs w:val="18"/>
        </w:rPr>
        <w:t>Note</w:t>
      </w:r>
      <w:r w:rsidR="00CC1794" w:rsidRPr="00A51F09">
        <w:rPr>
          <w:sz w:val="20"/>
          <w:szCs w:val="18"/>
        </w:rPr>
        <w:t>:</w:t>
      </w:r>
      <w:r w:rsidR="00CC1794" w:rsidRPr="00A51F09">
        <w:rPr>
          <w:sz w:val="20"/>
          <w:szCs w:val="18"/>
        </w:rPr>
        <w:tab/>
      </w:r>
    </w:p>
    <w:p w14:paraId="717111FD" w14:textId="15D22022" w:rsidR="00CC1794" w:rsidRPr="00A51F09" w:rsidRDefault="00CC1794" w:rsidP="00CC1794">
      <w:pPr>
        <w:rPr>
          <w:sz w:val="20"/>
          <w:szCs w:val="18"/>
        </w:rPr>
      </w:pPr>
      <w:r w:rsidRPr="00A51F09">
        <w:rPr>
          <w:sz w:val="20"/>
          <w:szCs w:val="18"/>
        </w:rPr>
        <w:t xml:space="preserve">*1: </w:t>
      </w:r>
      <w:r w:rsidR="008B1E1E" w:rsidRPr="008B1E1E">
        <w:rPr>
          <w:sz w:val="20"/>
          <w:szCs w:val="18"/>
        </w:rPr>
        <w:t>color brown -black, 2: brownish yellow, 3: dark green-yellowish, 4: natural green;</w:t>
      </w:r>
    </w:p>
    <w:p w14:paraId="19CC123F" w14:textId="107817F4" w:rsidR="00CC1794" w:rsidRPr="00A51F09" w:rsidRDefault="00CC1794" w:rsidP="00CC1794">
      <w:pPr>
        <w:rPr>
          <w:sz w:val="20"/>
          <w:szCs w:val="18"/>
        </w:rPr>
      </w:pPr>
      <w:r w:rsidRPr="00A51F09">
        <w:rPr>
          <w:sz w:val="20"/>
          <w:szCs w:val="18"/>
        </w:rPr>
        <w:t xml:space="preserve">**1: </w:t>
      </w:r>
      <w:r w:rsidR="008B1E1E" w:rsidRPr="008B1E1E">
        <w:rPr>
          <w:sz w:val="20"/>
          <w:szCs w:val="18"/>
        </w:rPr>
        <w:t>Stimulating rotten odor, 2: Stimulating odor, 3: Sweet-sour odor, 4: Sour sweet odor;</w:t>
      </w:r>
    </w:p>
    <w:p w14:paraId="28533970" w14:textId="77777777" w:rsidR="008B1E1E" w:rsidRDefault="00CC1794" w:rsidP="00CC1794">
      <w:pPr>
        <w:rPr>
          <w:sz w:val="20"/>
          <w:szCs w:val="18"/>
        </w:rPr>
      </w:pPr>
      <w:r w:rsidRPr="00A51F09">
        <w:rPr>
          <w:sz w:val="20"/>
          <w:szCs w:val="18"/>
        </w:rPr>
        <w:t xml:space="preserve">***1: </w:t>
      </w:r>
      <w:r w:rsidR="008B1E1E" w:rsidRPr="008B1E1E">
        <w:rPr>
          <w:sz w:val="20"/>
          <w:szCs w:val="18"/>
        </w:rPr>
        <w:t>soft, slimy, 2: somewhat soft, somewhat slimy, 3: somewhat hard, not slimy, 4: like fresh greens, hard/not soft, not slimy;</w:t>
      </w:r>
    </w:p>
    <w:p w14:paraId="691E5C68" w14:textId="77777777" w:rsidR="008B1E1E" w:rsidRDefault="00CC1794" w:rsidP="00CC1794">
      <w:pPr>
        <w:rPr>
          <w:sz w:val="20"/>
          <w:szCs w:val="18"/>
        </w:rPr>
      </w:pPr>
      <w:r w:rsidRPr="00A51F09">
        <w:rPr>
          <w:sz w:val="20"/>
          <w:szCs w:val="18"/>
        </w:rPr>
        <w:t xml:space="preserve">a,b : </w:t>
      </w:r>
      <w:r w:rsidR="008B1E1E" w:rsidRPr="008B1E1E">
        <w:rPr>
          <w:sz w:val="20"/>
          <w:szCs w:val="18"/>
        </w:rPr>
        <w:t>Similar letter notation means there is no significant difference at the Mann Whitney test level which has a value of 5%</w:t>
      </w:r>
    </w:p>
    <w:p w14:paraId="0437B462" w14:textId="77777777" w:rsidR="00B63F32" w:rsidRDefault="00B63F32" w:rsidP="00CC1794">
      <w:pPr>
        <w:rPr>
          <w:sz w:val="20"/>
          <w:szCs w:val="18"/>
        </w:rPr>
      </w:pPr>
    </w:p>
    <w:p w14:paraId="42C4DFE0" w14:textId="77777777" w:rsidR="00B63F32" w:rsidRDefault="00B63F32" w:rsidP="00CC1794">
      <w:pPr>
        <w:rPr>
          <w:sz w:val="20"/>
          <w:szCs w:val="18"/>
        </w:rPr>
      </w:pPr>
    </w:p>
    <w:p w14:paraId="48893CD3" w14:textId="77777777" w:rsidR="008B1E1E" w:rsidRDefault="008B1E1E" w:rsidP="00CC1794">
      <w:pPr>
        <w:rPr>
          <w:b/>
          <w:bCs/>
          <w:szCs w:val="18"/>
        </w:rPr>
      </w:pPr>
    </w:p>
    <w:p w14:paraId="4F131029" w14:textId="5FB6A9CB" w:rsidR="00CC1794" w:rsidRPr="00A51F09" w:rsidRDefault="008B1E1E" w:rsidP="00CC1794">
      <w:r>
        <w:rPr>
          <w:b/>
          <w:bCs/>
        </w:rPr>
        <w:lastRenderedPageBreak/>
        <w:t>Table</w:t>
      </w:r>
      <w:r w:rsidR="00CC1794" w:rsidRPr="00A51F09">
        <w:rPr>
          <w:b/>
          <w:bCs/>
        </w:rPr>
        <w:t xml:space="preserve"> 5. </w:t>
      </w:r>
      <w:r w:rsidRPr="008B1E1E">
        <w:t xml:space="preserve">Comparison of </w:t>
      </w:r>
      <w:r w:rsidR="00DF6F2F" w:rsidRPr="00DF6F2F">
        <w:t>Ramie</w:t>
      </w:r>
      <w:r w:rsidRPr="008B1E1E">
        <w:t xml:space="preserve"> Leaf Surfaces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26"/>
        <w:gridCol w:w="2126"/>
        <w:gridCol w:w="2126"/>
        <w:gridCol w:w="2126"/>
      </w:tblGrid>
      <w:tr w:rsidR="00CC1794" w:rsidRPr="00A51F09" w14:paraId="138C0C3C" w14:textId="77777777" w:rsidTr="00F75387">
        <w:trPr>
          <w:jc w:val="center"/>
        </w:trPr>
        <w:tc>
          <w:tcPr>
            <w:tcW w:w="2123" w:type="dxa"/>
            <w:vMerge w:val="restart"/>
            <w:vAlign w:val="center"/>
          </w:tcPr>
          <w:p w14:paraId="295FCD89" w14:textId="22ED3787" w:rsidR="00CC1794" w:rsidRPr="00A51F09" w:rsidRDefault="008B1E1E" w:rsidP="00F75387">
            <w:pPr>
              <w:jc w:val="center"/>
              <w:rPr>
                <w:sz w:val="20"/>
                <w:szCs w:val="18"/>
              </w:rPr>
            </w:pPr>
            <w:r>
              <w:rPr>
                <w:sz w:val="20"/>
                <w:szCs w:val="18"/>
              </w:rPr>
              <w:t>Fre</w:t>
            </w:r>
            <w:r w:rsidR="00DF6F2F">
              <w:rPr>
                <w:sz w:val="20"/>
                <w:szCs w:val="18"/>
              </w:rPr>
              <w:t>s</w:t>
            </w:r>
            <w:r>
              <w:rPr>
                <w:sz w:val="20"/>
                <w:szCs w:val="18"/>
              </w:rPr>
              <w:t>h Ramie Leaf</w:t>
            </w:r>
          </w:p>
        </w:tc>
        <w:tc>
          <w:tcPr>
            <w:tcW w:w="6371" w:type="dxa"/>
            <w:gridSpan w:val="3"/>
            <w:vAlign w:val="center"/>
          </w:tcPr>
          <w:p w14:paraId="5B5CD609" w14:textId="01C583A6" w:rsidR="00CC1794" w:rsidRPr="00A51F09" w:rsidRDefault="008B1E1E" w:rsidP="00F75387">
            <w:pPr>
              <w:jc w:val="center"/>
              <w:rPr>
                <w:sz w:val="20"/>
                <w:szCs w:val="18"/>
              </w:rPr>
            </w:pPr>
            <w:r>
              <w:rPr>
                <w:sz w:val="20"/>
                <w:szCs w:val="18"/>
              </w:rPr>
              <w:t>14 Days Fermentation of Silage</w:t>
            </w:r>
          </w:p>
        </w:tc>
      </w:tr>
      <w:tr w:rsidR="00CC1794" w:rsidRPr="00A51F09" w14:paraId="06E3C1F4" w14:textId="77777777" w:rsidTr="00F75387">
        <w:trPr>
          <w:jc w:val="center"/>
        </w:trPr>
        <w:tc>
          <w:tcPr>
            <w:tcW w:w="2123" w:type="dxa"/>
            <w:vMerge/>
            <w:vAlign w:val="center"/>
          </w:tcPr>
          <w:p w14:paraId="7EBE2206" w14:textId="77777777" w:rsidR="00CC1794" w:rsidRPr="00A51F09" w:rsidRDefault="00CC1794" w:rsidP="00F75387">
            <w:pPr>
              <w:rPr>
                <w:sz w:val="20"/>
                <w:szCs w:val="18"/>
              </w:rPr>
            </w:pPr>
          </w:p>
        </w:tc>
        <w:tc>
          <w:tcPr>
            <w:tcW w:w="2123" w:type="dxa"/>
            <w:vAlign w:val="center"/>
          </w:tcPr>
          <w:p w14:paraId="5F2C4447" w14:textId="4778FD51" w:rsidR="00CC1794" w:rsidRPr="00A51F09" w:rsidRDefault="008B1E1E" w:rsidP="00F75387">
            <w:pPr>
              <w:jc w:val="center"/>
              <w:rPr>
                <w:sz w:val="20"/>
                <w:szCs w:val="18"/>
              </w:rPr>
            </w:pPr>
            <w:r>
              <w:rPr>
                <w:sz w:val="20"/>
                <w:szCs w:val="18"/>
              </w:rPr>
              <w:t>Control</w:t>
            </w:r>
          </w:p>
        </w:tc>
        <w:tc>
          <w:tcPr>
            <w:tcW w:w="2124" w:type="dxa"/>
            <w:vAlign w:val="center"/>
          </w:tcPr>
          <w:p w14:paraId="40443AA0" w14:textId="4573772B" w:rsidR="00CC1794" w:rsidRPr="00A51F09" w:rsidRDefault="00E00DF5" w:rsidP="00F75387">
            <w:pPr>
              <w:jc w:val="center"/>
              <w:rPr>
                <w:sz w:val="20"/>
                <w:szCs w:val="18"/>
              </w:rPr>
            </w:pPr>
            <w:r>
              <w:rPr>
                <w:sz w:val="20"/>
                <w:szCs w:val="18"/>
              </w:rPr>
              <w:t xml:space="preserve">Probiotic starter with rice bran </w:t>
            </w:r>
          </w:p>
        </w:tc>
        <w:tc>
          <w:tcPr>
            <w:tcW w:w="2124" w:type="dxa"/>
            <w:vAlign w:val="center"/>
          </w:tcPr>
          <w:p w14:paraId="1489D602" w14:textId="77EFB1DF" w:rsidR="00CC1794" w:rsidRPr="00A51F09" w:rsidRDefault="00E00DF5" w:rsidP="00F75387">
            <w:pPr>
              <w:jc w:val="center"/>
              <w:rPr>
                <w:sz w:val="20"/>
                <w:szCs w:val="18"/>
              </w:rPr>
            </w:pPr>
            <w:r>
              <w:rPr>
                <w:sz w:val="20"/>
                <w:szCs w:val="18"/>
              </w:rPr>
              <w:t>Probiotic starter with heriyaki powder</w:t>
            </w:r>
          </w:p>
        </w:tc>
      </w:tr>
      <w:tr w:rsidR="00CC1794" w:rsidRPr="00A51F09" w14:paraId="1D324C78" w14:textId="77777777" w:rsidTr="00F75387">
        <w:trPr>
          <w:trHeight w:val="1831"/>
          <w:jc w:val="center"/>
        </w:trPr>
        <w:tc>
          <w:tcPr>
            <w:tcW w:w="2123" w:type="dxa"/>
            <w:vAlign w:val="center"/>
          </w:tcPr>
          <w:p w14:paraId="6A945C18" w14:textId="77777777" w:rsidR="00CC1794" w:rsidRPr="00A51F09" w:rsidRDefault="00CC1794" w:rsidP="00F75387">
            <w:pPr>
              <w:rPr>
                <w:sz w:val="20"/>
                <w:szCs w:val="18"/>
              </w:rPr>
            </w:pPr>
            <w:r w:rsidRPr="00A51F09">
              <w:rPr>
                <w:sz w:val="20"/>
                <w:szCs w:val="18"/>
                <w:lang w:val="id-ID"/>
              </w:rPr>
              <w:drawing>
                <wp:inline distT="0" distB="0" distL="0" distR="0" wp14:anchorId="2DAC630C" wp14:editId="496099D4">
                  <wp:extent cx="1260000" cy="1260000"/>
                  <wp:effectExtent l="0" t="0" r="0" b="0"/>
                  <wp:docPr id="1634525617" name="Picture 16345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13" t="11874" r="22638" b="13527"/>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123" w:type="dxa"/>
            <w:vAlign w:val="center"/>
          </w:tcPr>
          <w:p w14:paraId="589DF63C" w14:textId="77777777" w:rsidR="00CC1794" w:rsidRPr="00A51F09" w:rsidRDefault="00CC1794" w:rsidP="00F75387">
            <w:pPr>
              <w:rPr>
                <w:sz w:val="20"/>
                <w:szCs w:val="18"/>
              </w:rPr>
            </w:pPr>
            <w:r w:rsidRPr="00A51F09">
              <w:rPr>
                <w:sz w:val="20"/>
                <w:szCs w:val="18"/>
                <w:lang w:val="id-ID"/>
              </w:rPr>
              <w:drawing>
                <wp:inline distT="0" distB="0" distL="0" distR="0" wp14:anchorId="19FA2506" wp14:editId="2C6B03D7">
                  <wp:extent cx="1260000" cy="1260000"/>
                  <wp:effectExtent l="0" t="0" r="0" b="0"/>
                  <wp:docPr id="683289111" name="Picture 68328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07" t="14301" r="18043" b="9644"/>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124" w:type="dxa"/>
            <w:vAlign w:val="center"/>
          </w:tcPr>
          <w:p w14:paraId="3EFC3CC1" w14:textId="77777777" w:rsidR="00CC1794" w:rsidRPr="00A51F09" w:rsidRDefault="00CC1794" w:rsidP="00F75387">
            <w:pPr>
              <w:rPr>
                <w:sz w:val="20"/>
                <w:szCs w:val="18"/>
              </w:rPr>
            </w:pPr>
            <w:r w:rsidRPr="00A51F09">
              <w:rPr>
                <w:sz w:val="20"/>
                <w:szCs w:val="18"/>
                <w:lang w:val="id-ID"/>
              </w:rPr>
              <w:drawing>
                <wp:inline distT="0" distB="0" distL="0" distR="0" wp14:anchorId="207F0C79" wp14:editId="450E4EBB">
                  <wp:extent cx="1260000" cy="1260000"/>
                  <wp:effectExtent l="0" t="0" r="0" b="0"/>
                  <wp:docPr id="1082555953" name="Picture 108255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187" t="3149" r="20254" b="21451"/>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124" w:type="dxa"/>
            <w:vAlign w:val="center"/>
          </w:tcPr>
          <w:p w14:paraId="6DB39399" w14:textId="77777777" w:rsidR="00CC1794" w:rsidRPr="00A51F09" w:rsidRDefault="00CC1794" w:rsidP="00F75387">
            <w:pPr>
              <w:rPr>
                <w:sz w:val="20"/>
                <w:szCs w:val="18"/>
              </w:rPr>
            </w:pPr>
            <w:r w:rsidRPr="00A51F09">
              <w:rPr>
                <w:sz w:val="20"/>
                <w:szCs w:val="18"/>
                <w:lang w:val="id-ID"/>
              </w:rPr>
              <w:drawing>
                <wp:inline distT="0" distB="0" distL="0" distR="0" wp14:anchorId="50EF2E6E" wp14:editId="02D50B48">
                  <wp:extent cx="1260000" cy="1260000"/>
                  <wp:effectExtent l="0" t="0" r="0" b="0"/>
                  <wp:docPr id="1821950041" name="Picture 182195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99" t="5729" r="15281" b="37019"/>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r>
    </w:tbl>
    <w:p w14:paraId="7AD16B6C" w14:textId="77777777" w:rsidR="00CC1794" w:rsidRDefault="00CC1794" w:rsidP="008638E6">
      <w:pPr>
        <w:ind w:left="900" w:hanging="900"/>
      </w:pPr>
    </w:p>
    <w:p w14:paraId="7C0B722B" w14:textId="2798E701" w:rsidR="00CC1794" w:rsidRPr="00A51F09" w:rsidRDefault="008B1E1E" w:rsidP="00CC1794">
      <w:pPr>
        <w:rPr>
          <w:b/>
          <w:bCs/>
        </w:rPr>
      </w:pPr>
      <w:r>
        <w:rPr>
          <w:b/>
          <w:bCs/>
        </w:rPr>
        <w:t>Table</w:t>
      </w:r>
      <w:r w:rsidR="00CC1794" w:rsidRPr="00A51F09">
        <w:rPr>
          <w:b/>
          <w:bCs/>
        </w:rPr>
        <w:t xml:space="preserve"> 6. </w:t>
      </w:r>
      <w:r w:rsidRPr="008B1E1E">
        <w:t>Macroscopic Morphology of Silage Microbes on NA media</w:t>
      </w:r>
    </w:p>
    <w:tbl>
      <w:tblPr>
        <w:tblStyle w:val="TableGrid"/>
        <w:tblW w:w="524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50"/>
        <w:gridCol w:w="2200"/>
        <w:gridCol w:w="2200"/>
      </w:tblGrid>
      <w:tr w:rsidR="00CC1794" w:rsidRPr="00A51F09" w14:paraId="2A7D9AD5" w14:textId="77777777" w:rsidTr="00F75387">
        <w:trPr>
          <w:jc w:val="center"/>
        </w:trPr>
        <w:tc>
          <w:tcPr>
            <w:tcW w:w="843" w:type="dxa"/>
            <w:tcBorders>
              <w:bottom w:val="single" w:sz="4" w:space="0" w:color="auto"/>
            </w:tcBorders>
            <w:vAlign w:val="center"/>
          </w:tcPr>
          <w:p w14:paraId="5E27DB72" w14:textId="768D771C" w:rsidR="00CC1794" w:rsidRPr="00A51F09" w:rsidRDefault="008B1E1E" w:rsidP="00F75387">
            <w:pPr>
              <w:jc w:val="center"/>
              <w:rPr>
                <w:sz w:val="20"/>
                <w:szCs w:val="20"/>
              </w:rPr>
            </w:pPr>
            <w:r>
              <w:rPr>
                <w:sz w:val="20"/>
                <w:szCs w:val="20"/>
              </w:rPr>
              <w:t>Sample</w:t>
            </w:r>
          </w:p>
        </w:tc>
        <w:tc>
          <w:tcPr>
            <w:tcW w:w="4400" w:type="dxa"/>
            <w:gridSpan w:val="2"/>
            <w:tcBorders>
              <w:bottom w:val="single" w:sz="4" w:space="0" w:color="auto"/>
            </w:tcBorders>
            <w:vAlign w:val="center"/>
          </w:tcPr>
          <w:p w14:paraId="3A1AA01F" w14:textId="77777777" w:rsidR="00CC1794" w:rsidRPr="00A51F09" w:rsidRDefault="00CC1794" w:rsidP="00F75387">
            <w:pPr>
              <w:jc w:val="center"/>
              <w:rPr>
                <w:sz w:val="20"/>
                <w:szCs w:val="20"/>
              </w:rPr>
            </w:pPr>
            <w:r w:rsidRPr="00A51F09">
              <w:rPr>
                <w:sz w:val="20"/>
                <w:szCs w:val="20"/>
              </w:rPr>
              <w:t>NA</w:t>
            </w:r>
          </w:p>
        </w:tc>
      </w:tr>
      <w:tr w:rsidR="00CC1794" w:rsidRPr="00A51F09" w14:paraId="5C45A8B8" w14:textId="77777777" w:rsidTr="00F75387">
        <w:trPr>
          <w:trHeight w:val="2328"/>
          <w:jc w:val="center"/>
        </w:trPr>
        <w:tc>
          <w:tcPr>
            <w:tcW w:w="843" w:type="dxa"/>
            <w:tcBorders>
              <w:bottom w:val="nil"/>
            </w:tcBorders>
            <w:vAlign w:val="center"/>
          </w:tcPr>
          <w:p w14:paraId="2FA9A17D" w14:textId="1F1BB870" w:rsidR="00CC1794" w:rsidRPr="00A51F09" w:rsidRDefault="008B1E1E" w:rsidP="00F75387">
            <w:pPr>
              <w:jc w:val="center"/>
              <w:rPr>
                <w:sz w:val="20"/>
                <w:szCs w:val="20"/>
              </w:rPr>
            </w:pPr>
            <w:r>
              <w:rPr>
                <w:sz w:val="20"/>
                <w:szCs w:val="20"/>
              </w:rPr>
              <w:t>Control</w:t>
            </w:r>
          </w:p>
        </w:tc>
        <w:tc>
          <w:tcPr>
            <w:tcW w:w="2200" w:type="dxa"/>
            <w:tcBorders>
              <w:bottom w:val="nil"/>
            </w:tcBorders>
            <w:vAlign w:val="center"/>
          </w:tcPr>
          <w:p w14:paraId="19A51686" w14:textId="2C1F5805" w:rsidR="00CC1794" w:rsidRPr="00A51F09" w:rsidRDefault="00CC1794" w:rsidP="00F75387">
            <w:pPr>
              <w:jc w:val="center"/>
              <w:rPr>
                <w:sz w:val="20"/>
                <w:szCs w:val="20"/>
              </w:rPr>
            </w:pPr>
            <w:r w:rsidRPr="00A51F09">
              <w:rPr>
                <w:sz w:val="20"/>
                <w:szCs w:val="20"/>
              </w:rPr>
              <w:t>Isolat</w:t>
            </w:r>
            <w:r w:rsidR="008B1E1E">
              <w:rPr>
                <w:sz w:val="20"/>
                <w:szCs w:val="20"/>
              </w:rPr>
              <w:t>e</w:t>
            </w:r>
            <w:r w:rsidRPr="00A51F09">
              <w:rPr>
                <w:sz w:val="20"/>
                <w:szCs w:val="20"/>
              </w:rPr>
              <w:t xml:space="preserve"> NK1</w:t>
            </w:r>
          </w:p>
          <w:p w14:paraId="6D5DCB8C" w14:textId="77777777" w:rsidR="00CC1794" w:rsidRPr="00A51F09" w:rsidRDefault="00CC1794" w:rsidP="00F75387">
            <w:pPr>
              <w:jc w:val="center"/>
              <w:rPr>
                <w:sz w:val="20"/>
                <w:szCs w:val="20"/>
              </w:rPr>
            </w:pPr>
            <w:r w:rsidRPr="00A51F09">
              <w:rPr>
                <w:sz w:val="20"/>
                <w:szCs w:val="20"/>
                <w:lang w:val="id-ID"/>
              </w:rPr>
              <w:drawing>
                <wp:inline distT="0" distB="0" distL="0" distR="0" wp14:anchorId="2FA242FD" wp14:editId="7EF0A52B">
                  <wp:extent cx="1260000" cy="1260000"/>
                  <wp:effectExtent l="0" t="0" r="0" b="0"/>
                  <wp:docPr id="892329472" name="Picture 89232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966" t="31521" r="24277" b="19478"/>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200" w:type="dxa"/>
            <w:tcBorders>
              <w:bottom w:val="nil"/>
            </w:tcBorders>
            <w:vAlign w:val="center"/>
          </w:tcPr>
          <w:p w14:paraId="4256B4E4" w14:textId="4980928E" w:rsidR="00CC1794" w:rsidRPr="00A51F09" w:rsidRDefault="00CC1794" w:rsidP="00F75387">
            <w:pPr>
              <w:jc w:val="center"/>
              <w:rPr>
                <w:sz w:val="20"/>
                <w:szCs w:val="20"/>
              </w:rPr>
            </w:pPr>
            <w:r w:rsidRPr="00A51F09">
              <w:rPr>
                <w:sz w:val="20"/>
                <w:szCs w:val="20"/>
              </w:rPr>
              <w:t>Isolat</w:t>
            </w:r>
            <w:r w:rsidR="008B1E1E">
              <w:rPr>
                <w:sz w:val="20"/>
                <w:szCs w:val="20"/>
              </w:rPr>
              <w:t>e</w:t>
            </w:r>
            <w:r w:rsidRPr="00A51F09">
              <w:rPr>
                <w:sz w:val="20"/>
                <w:szCs w:val="20"/>
              </w:rPr>
              <w:t xml:space="preserve"> NK2</w:t>
            </w:r>
          </w:p>
          <w:p w14:paraId="13667290" w14:textId="77777777" w:rsidR="00CC1794" w:rsidRPr="00A51F09" w:rsidRDefault="00CC1794" w:rsidP="00F75387">
            <w:pPr>
              <w:jc w:val="center"/>
              <w:rPr>
                <w:sz w:val="20"/>
                <w:szCs w:val="20"/>
              </w:rPr>
            </w:pPr>
            <w:r w:rsidRPr="00A51F09">
              <w:rPr>
                <w:sz w:val="20"/>
                <w:szCs w:val="20"/>
                <w:lang w:val="id-ID"/>
              </w:rPr>
              <w:drawing>
                <wp:inline distT="0" distB="0" distL="0" distR="0" wp14:anchorId="70FD6AD7" wp14:editId="44F89CA3">
                  <wp:extent cx="1260000" cy="1260000"/>
                  <wp:effectExtent l="0" t="0" r="0" b="0"/>
                  <wp:docPr id="1569500666" name="Picture 15695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ellipse">
                            <a:avLst/>
                          </a:prstGeom>
                          <a:noFill/>
                          <a:ln>
                            <a:noFill/>
                          </a:ln>
                        </pic:spPr>
                      </pic:pic>
                    </a:graphicData>
                  </a:graphic>
                </wp:inline>
              </w:drawing>
            </w:r>
          </w:p>
        </w:tc>
      </w:tr>
      <w:tr w:rsidR="00CC1794" w:rsidRPr="00A51F09" w14:paraId="7838B25B" w14:textId="77777777" w:rsidTr="00F75387">
        <w:trPr>
          <w:trHeight w:val="2325"/>
          <w:jc w:val="center"/>
        </w:trPr>
        <w:tc>
          <w:tcPr>
            <w:tcW w:w="843" w:type="dxa"/>
            <w:tcBorders>
              <w:bottom w:val="single" w:sz="4" w:space="0" w:color="auto"/>
            </w:tcBorders>
            <w:vAlign w:val="center"/>
          </w:tcPr>
          <w:p w14:paraId="776693B3" w14:textId="5CBADA91" w:rsidR="00CC1794" w:rsidRPr="00A51F09" w:rsidRDefault="00E00DF5" w:rsidP="00F75387">
            <w:pPr>
              <w:jc w:val="center"/>
              <w:rPr>
                <w:sz w:val="20"/>
                <w:szCs w:val="20"/>
              </w:rPr>
            </w:pPr>
            <w:r>
              <w:rPr>
                <w:sz w:val="20"/>
                <w:szCs w:val="20"/>
              </w:rPr>
              <w:t xml:space="preserve">Probiotic starter with rice bran </w:t>
            </w:r>
          </w:p>
        </w:tc>
        <w:tc>
          <w:tcPr>
            <w:tcW w:w="2200" w:type="dxa"/>
            <w:tcBorders>
              <w:bottom w:val="single" w:sz="4" w:space="0" w:color="auto"/>
            </w:tcBorders>
            <w:vAlign w:val="center"/>
          </w:tcPr>
          <w:p w14:paraId="353D39B5" w14:textId="240D41A1" w:rsidR="00CC1794" w:rsidRPr="00A51F09" w:rsidRDefault="008B1E1E" w:rsidP="00F75387">
            <w:pPr>
              <w:jc w:val="center"/>
              <w:rPr>
                <w:sz w:val="20"/>
                <w:szCs w:val="20"/>
              </w:rPr>
            </w:pPr>
            <w:r>
              <w:rPr>
                <w:sz w:val="20"/>
                <w:szCs w:val="20"/>
              </w:rPr>
              <w:t>Isolate</w:t>
            </w:r>
            <w:r w:rsidR="00CC1794" w:rsidRPr="00A51F09">
              <w:rPr>
                <w:sz w:val="20"/>
                <w:szCs w:val="20"/>
              </w:rPr>
              <w:t xml:space="preserve"> ND1</w:t>
            </w:r>
          </w:p>
          <w:p w14:paraId="08DB9C04" w14:textId="77777777" w:rsidR="00CC1794" w:rsidRPr="00A51F09" w:rsidRDefault="00CC1794" w:rsidP="00F75387">
            <w:pPr>
              <w:jc w:val="center"/>
              <w:rPr>
                <w:sz w:val="20"/>
                <w:szCs w:val="20"/>
              </w:rPr>
            </w:pPr>
            <w:r w:rsidRPr="00A51F09">
              <w:rPr>
                <w:sz w:val="20"/>
                <w:szCs w:val="20"/>
                <w:lang w:val="id-ID"/>
              </w:rPr>
              <w:drawing>
                <wp:inline distT="0" distB="0" distL="0" distR="0" wp14:anchorId="109DEDAA" wp14:editId="59814256">
                  <wp:extent cx="1260000" cy="1260000"/>
                  <wp:effectExtent l="0" t="0" r="0" b="0"/>
                  <wp:docPr id="1991114165" name="Picture 199111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524" t="45631" r="36904" b="24283"/>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200" w:type="dxa"/>
            <w:tcBorders>
              <w:bottom w:val="single" w:sz="4" w:space="0" w:color="auto"/>
            </w:tcBorders>
          </w:tcPr>
          <w:p w14:paraId="6BFCEEF6" w14:textId="2B1D2173" w:rsidR="00CC1794" w:rsidRPr="00A51F09" w:rsidRDefault="008B1E1E" w:rsidP="00F75387">
            <w:pPr>
              <w:jc w:val="center"/>
              <w:rPr>
                <w:sz w:val="20"/>
                <w:szCs w:val="20"/>
              </w:rPr>
            </w:pPr>
            <w:r>
              <w:rPr>
                <w:sz w:val="20"/>
                <w:szCs w:val="20"/>
              </w:rPr>
              <w:t>Isolate</w:t>
            </w:r>
            <w:r w:rsidR="00CC1794" w:rsidRPr="00A51F09">
              <w:rPr>
                <w:sz w:val="20"/>
                <w:szCs w:val="20"/>
              </w:rPr>
              <w:t xml:space="preserve"> ND2</w:t>
            </w:r>
          </w:p>
          <w:p w14:paraId="61684555" w14:textId="77777777" w:rsidR="00CC1794" w:rsidRPr="00A51F09" w:rsidRDefault="00CC1794" w:rsidP="00F75387">
            <w:pPr>
              <w:jc w:val="center"/>
              <w:rPr>
                <w:sz w:val="20"/>
                <w:szCs w:val="20"/>
              </w:rPr>
            </w:pPr>
            <w:r w:rsidRPr="00A51F09">
              <w:rPr>
                <w:sz w:val="20"/>
                <w:szCs w:val="20"/>
                <w:lang w:val="id-ID"/>
              </w:rPr>
              <w:drawing>
                <wp:inline distT="0" distB="0" distL="0" distR="0" wp14:anchorId="17EDF0BE" wp14:editId="1E395C47">
                  <wp:extent cx="1260000" cy="1260000"/>
                  <wp:effectExtent l="0" t="0" r="0" b="0"/>
                  <wp:docPr id="129529853" name="Picture 12952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ellipse">
                            <a:avLst/>
                          </a:prstGeom>
                          <a:noFill/>
                          <a:ln>
                            <a:noFill/>
                          </a:ln>
                        </pic:spPr>
                      </pic:pic>
                    </a:graphicData>
                  </a:graphic>
                </wp:inline>
              </w:drawing>
            </w:r>
          </w:p>
        </w:tc>
      </w:tr>
      <w:tr w:rsidR="00CC1794" w:rsidRPr="00A51F09" w14:paraId="564852ED" w14:textId="77777777" w:rsidTr="00F75387">
        <w:trPr>
          <w:trHeight w:val="2007"/>
          <w:jc w:val="center"/>
        </w:trPr>
        <w:tc>
          <w:tcPr>
            <w:tcW w:w="843" w:type="dxa"/>
            <w:tcBorders>
              <w:bottom w:val="single" w:sz="4" w:space="0" w:color="auto"/>
            </w:tcBorders>
            <w:vAlign w:val="center"/>
          </w:tcPr>
          <w:p w14:paraId="321F3D27" w14:textId="0F4E20BF" w:rsidR="00CC1794" w:rsidRPr="00A51F09" w:rsidRDefault="00E00DF5" w:rsidP="00F75387">
            <w:pPr>
              <w:jc w:val="center"/>
              <w:rPr>
                <w:sz w:val="20"/>
                <w:szCs w:val="20"/>
              </w:rPr>
            </w:pPr>
            <w:r>
              <w:rPr>
                <w:sz w:val="20"/>
                <w:szCs w:val="20"/>
              </w:rPr>
              <w:t>Probiotic starter with heriyaki powder</w:t>
            </w:r>
          </w:p>
        </w:tc>
        <w:tc>
          <w:tcPr>
            <w:tcW w:w="2200" w:type="dxa"/>
            <w:tcBorders>
              <w:bottom w:val="single" w:sz="4" w:space="0" w:color="auto"/>
            </w:tcBorders>
            <w:vAlign w:val="center"/>
          </w:tcPr>
          <w:p w14:paraId="7379D0D0" w14:textId="1798FE50" w:rsidR="00CC1794" w:rsidRPr="00A51F09" w:rsidRDefault="00CC1794" w:rsidP="00F75387">
            <w:pPr>
              <w:jc w:val="center"/>
              <w:rPr>
                <w:sz w:val="20"/>
                <w:szCs w:val="20"/>
              </w:rPr>
            </w:pPr>
            <w:r w:rsidRPr="00A51F09">
              <w:rPr>
                <w:sz w:val="20"/>
                <w:szCs w:val="20"/>
              </w:rPr>
              <w:t>Isolat</w:t>
            </w:r>
            <w:r w:rsidR="008B1E1E">
              <w:rPr>
                <w:sz w:val="20"/>
                <w:szCs w:val="20"/>
              </w:rPr>
              <w:t>e</w:t>
            </w:r>
            <w:r w:rsidRPr="00A51F09">
              <w:rPr>
                <w:sz w:val="20"/>
                <w:szCs w:val="20"/>
              </w:rPr>
              <w:t xml:space="preserve"> NH1</w:t>
            </w:r>
          </w:p>
          <w:p w14:paraId="234CBEFD" w14:textId="77777777" w:rsidR="00CC1794" w:rsidRPr="00A51F09" w:rsidRDefault="00CC1794" w:rsidP="00F75387">
            <w:pPr>
              <w:jc w:val="center"/>
              <w:rPr>
                <w:sz w:val="20"/>
                <w:szCs w:val="20"/>
              </w:rPr>
            </w:pPr>
            <w:r w:rsidRPr="00A51F09">
              <w:rPr>
                <w:sz w:val="20"/>
                <w:szCs w:val="20"/>
                <w:lang w:val="id-ID"/>
              </w:rPr>
              <w:drawing>
                <wp:inline distT="0" distB="0" distL="0" distR="0" wp14:anchorId="1995CC90" wp14:editId="22D56FB4">
                  <wp:extent cx="1260000" cy="1260000"/>
                  <wp:effectExtent l="0" t="0" r="0" b="0"/>
                  <wp:docPr id="430711214" name="Picture 43071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l="32630" t="39168" r="42494" b="27654"/>
                          <a:stretch/>
                        </pic:blipFill>
                        <pic:spPr bwMode="auto">
                          <a:xfrm>
                            <a:off x="0" y="0"/>
                            <a:ext cx="1260000" cy="1260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200" w:type="dxa"/>
            <w:tcBorders>
              <w:bottom w:val="single" w:sz="4" w:space="0" w:color="auto"/>
            </w:tcBorders>
          </w:tcPr>
          <w:p w14:paraId="5247BA77" w14:textId="63610C1E" w:rsidR="00CC1794" w:rsidRPr="00A51F09" w:rsidRDefault="00CC1794" w:rsidP="00F75387">
            <w:pPr>
              <w:jc w:val="center"/>
              <w:rPr>
                <w:sz w:val="20"/>
                <w:szCs w:val="20"/>
              </w:rPr>
            </w:pPr>
            <w:r w:rsidRPr="00A51F09">
              <w:rPr>
                <w:sz w:val="20"/>
                <w:szCs w:val="20"/>
              </w:rPr>
              <w:t>Isolat</w:t>
            </w:r>
            <w:r w:rsidR="008B1E1E">
              <w:rPr>
                <w:sz w:val="20"/>
                <w:szCs w:val="20"/>
              </w:rPr>
              <w:t>e</w:t>
            </w:r>
            <w:r w:rsidRPr="00A51F09">
              <w:rPr>
                <w:sz w:val="20"/>
                <w:szCs w:val="20"/>
              </w:rPr>
              <w:t xml:space="preserve"> NH2</w:t>
            </w:r>
          </w:p>
          <w:p w14:paraId="24C936CE" w14:textId="77777777" w:rsidR="00CC1794" w:rsidRPr="00A51F09" w:rsidRDefault="00CC1794" w:rsidP="00F75387">
            <w:pPr>
              <w:jc w:val="center"/>
              <w:rPr>
                <w:sz w:val="20"/>
                <w:szCs w:val="20"/>
              </w:rPr>
            </w:pPr>
            <w:r w:rsidRPr="00A51F09">
              <w:rPr>
                <w:sz w:val="20"/>
                <w:szCs w:val="20"/>
                <w:lang w:val="id-ID"/>
              </w:rPr>
              <w:drawing>
                <wp:inline distT="0" distB="0" distL="0" distR="0" wp14:anchorId="712B197D" wp14:editId="1D7DCD18">
                  <wp:extent cx="1260000" cy="1260000"/>
                  <wp:effectExtent l="0" t="0" r="0" b="0"/>
                  <wp:docPr id="1929406307" name="Picture 192940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ellipse">
                            <a:avLst/>
                          </a:prstGeom>
                          <a:noFill/>
                          <a:ln>
                            <a:noFill/>
                          </a:ln>
                        </pic:spPr>
                      </pic:pic>
                    </a:graphicData>
                  </a:graphic>
                </wp:inline>
              </w:drawing>
            </w:r>
          </w:p>
        </w:tc>
      </w:tr>
    </w:tbl>
    <w:p w14:paraId="57E80B6E" w14:textId="77777777" w:rsidR="00CC1794" w:rsidRDefault="00CC1794" w:rsidP="008638E6">
      <w:pPr>
        <w:ind w:left="900" w:hanging="900"/>
      </w:pPr>
    </w:p>
    <w:p w14:paraId="032FBAFF" w14:textId="77777777" w:rsidR="00B63F32" w:rsidRDefault="00B63F32" w:rsidP="008638E6">
      <w:pPr>
        <w:ind w:left="900" w:hanging="900"/>
      </w:pPr>
    </w:p>
    <w:p w14:paraId="0C70A939" w14:textId="77777777" w:rsidR="00B63F32" w:rsidRDefault="00B63F32" w:rsidP="008638E6">
      <w:pPr>
        <w:ind w:left="900" w:hanging="900"/>
      </w:pPr>
    </w:p>
    <w:p w14:paraId="0ACF490A" w14:textId="7E031CD8" w:rsidR="00E8522E" w:rsidRPr="00A51F09" w:rsidRDefault="008B1E1E" w:rsidP="00E8522E">
      <w:pPr>
        <w:rPr>
          <w:lang w:val="id-ID"/>
        </w:rPr>
      </w:pPr>
      <w:r>
        <w:rPr>
          <w:b/>
          <w:bCs/>
        </w:rPr>
        <w:lastRenderedPageBreak/>
        <w:t>Table</w:t>
      </w:r>
      <w:r w:rsidR="00E8522E" w:rsidRPr="00A51F09">
        <w:rPr>
          <w:b/>
          <w:bCs/>
          <w:lang w:val="id-ID"/>
        </w:rPr>
        <w:t xml:space="preserve"> </w:t>
      </w:r>
      <w:r w:rsidR="00E8522E" w:rsidRPr="00A51F09">
        <w:rPr>
          <w:b/>
          <w:bCs/>
        </w:rPr>
        <w:t>7</w:t>
      </w:r>
      <w:r w:rsidRPr="008B1E1E">
        <w:rPr>
          <w:b/>
          <w:bCs/>
          <w:lang w:val="id-ID"/>
        </w:rPr>
        <w:t>. TPC silage fermentation results for 14 days</w:t>
      </w:r>
    </w:p>
    <w:tbl>
      <w:tblPr>
        <w:tblStyle w:val="TableGrid"/>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0"/>
        <w:gridCol w:w="2268"/>
        <w:gridCol w:w="283"/>
      </w:tblGrid>
      <w:tr w:rsidR="00E8522E" w:rsidRPr="00A51F09" w14:paraId="56951F4B" w14:textId="77777777" w:rsidTr="00F75387">
        <w:trPr>
          <w:trHeight w:val="421"/>
          <w:jc w:val="center"/>
        </w:trPr>
        <w:tc>
          <w:tcPr>
            <w:tcW w:w="1130" w:type="dxa"/>
            <w:tcBorders>
              <w:bottom w:val="single" w:sz="4" w:space="0" w:color="auto"/>
            </w:tcBorders>
            <w:vAlign w:val="center"/>
          </w:tcPr>
          <w:p w14:paraId="4D31B7CF" w14:textId="02721B2D" w:rsidR="00E8522E" w:rsidRPr="008B1E1E" w:rsidRDefault="008B1E1E" w:rsidP="00F75387">
            <w:pPr>
              <w:jc w:val="center"/>
              <w:rPr>
                <w:sz w:val="20"/>
                <w:szCs w:val="18"/>
              </w:rPr>
            </w:pPr>
            <w:r>
              <w:rPr>
                <w:sz w:val="20"/>
                <w:szCs w:val="18"/>
              </w:rPr>
              <w:t>Sample</w:t>
            </w:r>
          </w:p>
        </w:tc>
        <w:tc>
          <w:tcPr>
            <w:tcW w:w="2551" w:type="dxa"/>
            <w:gridSpan w:val="2"/>
            <w:tcBorders>
              <w:left w:val="nil"/>
              <w:bottom w:val="single" w:sz="4" w:space="0" w:color="auto"/>
            </w:tcBorders>
            <w:vAlign w:val="center"/>
          </w:tcPr>
          <w:p w14:paraId="07655C5D" w14:textId="77777777" w:rsidR="00E8522E" w:rsidRPr="00A51F09" w:rsidRDefault="00E8522E" w:rsidP="00F75387">
            <w:pPr>
              <w:jc w:val="center"/>
              <w:rPr>
                <w:sz w:val="20"/>
                <w:szCs w:val="18"/>
                <w:lang w:val="id-ID"/>
              </w:rPr>
            </w:pPr>
            <w:r w:rsidRPr="00A51F09">
              <w:rPr>
                <w:sz w:val="20"/>
                <w:szCs w:val="18"/>
                <w:lang w:val="id-ID"/>
              </w:rPr>
              <w:t>NA (10</w:t>
            </w:r>
            <w:r w:rsidRPr="00A51F09">
              <w:rPr>
                <w:sz w:val="20"/>
                <w:szCs w:val="18"/>
                <w:vertAlign w:val="superscript"/>
                <w:lang w:val="id-ID"/>
              </w:rPr>
              <w:t xml:space="preserve">6 </w:t>
            </w:r>
            <w:r w:rsidRPr="00A51F09">
              <w:rPr>
                <w:sz w:val="20"/>
                <w:szCs w:val="18"/>
                <w:lang w:val="id-ID"/>
              </w:rPr>
              <w:t>CFU/mL)</w:t>
            </w:r>
          </w:p>
        </w:tc>
      </w:tr>
      <w:tr w:rsidR="00E8522E" w:rsidRPr="00A51F09" w14:paraId="7506EB4C" w14:textId="77777777" w:rsidTr="00F75387">
        <w:trPr>
          <w:gridAfter w:val="1"/>
          <w:wAfter w:w="283" w:type="dxa"/>
          <w:trHeight w:val="229"/>
          <w:jc w:val="center"/>
        </w:trPr>
        <w:tc>
          <w:tcPr>
            <w:tcW w:w="1130" w:type="dxa"/>
            <w:tcBorders>
              <w:bottom w:val="nil"/>
            </w:tcBorders>
            <w:vAlign w:val="center"/>
          </w:tcPr>
          <w:p w14:paraId="31DE7356" w14:textId="296DAA16" w:rsidR="00E8522E" w:rsidRPr="008B1E1E" w:rsidRDefault="008B1E1E" w:rsidP="00F75387">
            <w:pPr>
              <w:jc w:val="center"/>
              <w:rPr>
                <w:sz w:val="20"/>
                <w:szCs w:val="18"/>
              </w:rPr>
            </w:pPr>
            <w:r>
              <w:rPr>
                <w:sz w:val="20"/>
                <w:szCs w:val="18"/>
              </w:rPr>
              <w:t>Control</w:t>
            </w:r>
          </w:p>
        </w:tc>
        <w:tc>
          <w:tcPr>
            <w:tcW w:w="2268" w:type="dxa"/>
            <w:tcBorders>
              <w:left w:val="nil"/>
              <w:bottom w:val="nil"/>
              <w:right w:val="nil"/>
            </w:tcBorders>
          </w:tcPr>
          <w:p w14:paraId="3DFB8415" w14:textId="77777777" w:rsidR="00E8522E" w:rsidRPr="00A51F09" w:rsidRDefault="00E8522E" w:rsidP="00F75387">
            <w:pPr>
              <w:jc w:val="center"/>
              <w:rPr>
                <w:sz w:val="20"/>
                <w:szCs w:val="18"/>
                <w:lang w:val="id-ID"/>
              </w:rPr>
            </w:pPr>
            <w:r w:rsidRPr="00A51F09">
              <w:rPr>
                <w:sz w:val="20"/>
                <w:szCs w:val="18"/>
                <w:lang w:val="id-ID"/>
              </w:rPr>
              <w:t>113</w:t>
            </w:r>
          </w:p>
        </w:tc>
      </w:tr>
      <w:tr w:rsidR="00E8522E" w:rsidRPr="00A51F09" w14:paraId="71F276B6" w14:textId="77777777" w:rsidTr="00F75387">
        <w:trPr>
          <w:gridAfter w:val="1"/>
          <w:wAfter w:w="283" w:type="dxa"/>
          <w:trHeight w:val="229"/>
          <w:jc w:val="center"/>
        </w:trPr>
        <w:tc>
          <w:tcPr>
            <w:tcW w:w="1130" w:type="dxa"/>
            <w:tcBorders>
              <w:top w:val="nil"/>
              <w:bottom w:val="nil"/>
            </w:tcBorders>
            <w:vAlign w:val="center"/>
          </w:tcPr>
          <w:p w14:paraId="257DC25D" w14:textId="0032C8EC" w:rsidR="00E8522E" w:rsidRPr="00A51F09" w:rsidRDefault="00E00DF5" w:rsidP="00F75387">
            <w:pPr>
              <w:jc w:val="center"/>
              <w:rPr>
                <w:sz w:val="20"/>
                <w:szCs w:val="18"/>
                <w:lang w:val="id-ID"/>
              </w:rPr>
            </w:pPr>
            <w:r>
              <w:rPr>
                <w:sz w:val="20"/>
                <w:szCs w:val="18"/>
                <w:lang w:val="id-ID"/>
              </w:rPr>
              <w:t xml:space="preserve">Probiotic starter with rice bran </w:t>
            </w:r>
          </w:p>
        </w:tc>
        <w:tc>
          <w:tcPr>
            <w:tcW w:w="2268" w:type="dxa"/>
            <w:tcBorders>
              <w:top w:val="nil"/>
              <w:left w:val="nil"/>
              <w:bottom w:val="nil"/>
              <w:right w:val="nil"/>
            </w:tcBorders>
          </w:tcPr>
          <w:p w14:paraId="64963815" w14:textId="77777777" w:rsidR="00E8522E" w:rsidRPr="00A51F09" w:rsidRDefault="00E8522E" w:rsidP="00F75387">
            <w:pPr>
              <w:jc w:val="center"/>
              <w:rPr>
                <w:sz w:val="20"/>
                <w:szCs w:val="18"/>
                <w:lang w:val="id-ID"/>
              </w:rPr>
            </w:pPr>
            <w:r w:rsidRPr="00A51F09">
              <w:rPr>
                <w:sz w:val="20"/>
                <w:szCs w:val="18"/>
                <w:lang w:val="id-ID"/>
              </w:rPr>
              <w:t>145</w:t>
            </w:r>
          </w:p>
        </w:tc>
      </w:tr>
      <w:tr w:rsidR="00E8522E" w:rsidRPr="00A51F09" w14:paraId="7B783571" w14:textId="77777777" w:rsidTr="00F75387">
        <w:trPr>
          <w:gridAfter w:val="1"/>
          <w:wAfter w:w="283" w:type="dxa"/>
          <w:trHeight w:val="263"/>
          <w:jc w:val="center"/>
        </w:trPr>
        <w:tc>
          <w:tcPr>
            <w:tcW w:w="1130" w:type="dxa"/>
            <w:tcBorders>
              <w:top w:val="nil"/>
            </w:tcBorders>
            <w:vAlign w:val="center"/>
          </w:tcPr>
          <w:p w14:paraId="7DC11255" w14:textId="2F732184" w:rsidR="00E8522E" w:rsidRPr="00A51F09" w:rsidRDefault="00E00DF5" w:rsidP="00F75387">
            <w:pPr>
              <w:jc w:val="center"/>
              <w:rPr>
                <w:sz w:val="20"/>
                <w:szCs w:val="18"/>
                <w:lang w:val="id-ID"/>
              </w:rPr>
            </w:pPr>
            <w:r>
              <w:rPr>
                <w:sz w:val="20"/>
                <w:szCs w:val="18"/>
                <w:lang w:val="id-ID"/>
              </w:rPr>
              <w:t>Probiotic starter with heriyaki powder</w:t>
            </w:r>
          </w:p>
        </w:tc>
        <w:tc>
          <w:tcPr>
            <w:tcW w:w="2268" w:type="dxa"/>
            <w:tcBorders>
              <w:top w:val="nil"/>
              <w:left w:val="nil"/>
              <w:right w:val="nil"/>
            </w:tcBorders>
          </w:tcPr>
          <w:p w14:paraId="72E94E92" w14:textId="77777777" w:rsidR="00E8522E" w:rsidRPr="00A51F09" w:rsidRDefault="00E8522E" w:rsidP="00F75387">
            <w:pPr>
              <w:jc w:val="center"/>
              <w:rPr>
                <w:sz w:val="20"/>
                <w:szCs w:val="18"/>
                <w:lang w:val="id-ID"/>
              </w:rPr>
            </w:pPr>
            <w:r w:rsidRPr="00A51F09">
              <w:rPr>
                <w:sz w:val="20"/>
                <w:szCs w:val="18"/>
                <w:lang w:val="id-ID"/>
              </w:rPr>
              <w:t>156</w:t>
            </w:r>
          </w:p>
        </w:tc>
      </w:tr>
    </w:tbl>
    <w:p w14:paraId="4DA71A60" w14:textId="77777777" w:rsidR="00E8522E" w:rsidRPr="00A51F09" w:rsidRDefault="00E8522E" w:rsidP="00E8522E">
      <w:pPr>
        <w:rPr>
          <w:b/>
          <w:bCs/>
        </w:rPr>
      </w:pPr>
    </w:p>
    <w:p w14:paraId="6C9444BA" w14:textId="31C9C00B" w:rsidR="00E8522E" w:rsidRPr="00A51F09" w:rsidRDefault="008B1E1E" w:rsidP="00E8522E">
      <w:r>
        <w:rPr>
          <w:b/>
          <w:bCs/>
        </w:rPr>
        <w:t>Table</w:t>
      </w:r>
      <w:r w:rsidR="00E8522E" w:rsidRPr="00A51F09">
        <w:rPr>
          <w:b/>
          <w:bCs/>
        </w:rPr>
        <w:t xml:space="preserve"> </w:t>
      </w:r>
      <w:r w:rsidR="00E8522E">
        <w:rPr>
          <w:b/>
          <w:bCs/>
        </w:rPr>
        <w:t>8</w:t>
      </w:r>
      <w:r w:rsidR="00E8522E" w:rsidRPr="00A51F09">
        <w:rPr>
          <w:b/>
          <w:bCs/>
        </w:rPr>
        <w:t xml:space="preserve">. </w:t>
      </w:r>
      <w:r w:rsidRPr="008B1E1E">
        <w:t>Average Feed Consumption</w:t>
      </w:r>
    </w:p>
    <w:tbl>
      <w:tblPr>
        <w:tblStyle w:val="TableGrid"/>
        <w:tblW w:w="0" w:type="auto"/>
        <w:jc w:val="center"/>
        <w:tblLook w:val="04A0" w:firstRow="1" w:lastRow="0" w:firstColumn="1" w:lastColumn="0" w:noHBand="0" w:noVBand="1"/>
      </w:tblPr>
      <w:tblGrid>
        <w:gridCol w:w="2038"/>
        <w:gridCol w:w="2038"/>
        <w:gridCol w:w="2038"/>
      </w:tblGrid>
      <w:tr w:rsidR="00E8522E" w:rsidRPr="00A51F09" w14:paraId="44D77A68" w14:textId="77777777" w:rsidTr="00F75387">
        <w:trPr>
          <w:jc w:val="center"/>
        </w:trPr>
        <w:tc>
          <w:tcPr>
            <w:tcW w:w="2038" w:type="dxa"/>
            <w:vMerge w:val="restart"/>
            <w:tcBorders>
              <w:left w:val="nil"/>
              <w:bottom w:val="single" w:sz="4" w:space="0" w:color="auto"/>
              <w:right w:val="nil"/>
            </w:tcBorders>
            <w:vAlign w:val="center"/>
          </w:tcPr>
          <w:p w14:paraId="0F1D83F7" w14:textId="51D1361F" w:rsidR="00E8522E" w:rsidRPr="00A51F09" w:rsidRDefault="008B1E1E" w:rsidP="00F75387">
            <w:pPr>
              <w:jc w:val="center"/>
              <w:rPr>
                <w:sz w:val="20"/>
                <w:szCs w:val="18"/>
                <w:lang w:val="id-ID"/>
              </w:rPr>
            </w:pPr>
            <w:r w:rsidRPr="008B1E1E">
              <w:rPr>
                <w:sz w:val="20"/>
                <w:szCs w:val="18"/>
                <w:lang w:val="id-ID"/>
              </w:rPr>
              <w:t>Test Animals</w:t>
            </w:r>
          </w:p>
        </w:tc>
        <w:tc>
          <w:tcPr>
            <w:tcW w:w="4076" w:type="dxa"/>
            <w:gridSpan w:val="2"/>
            <w:tcBorders>
              <w:left w:val="nil"/>
              <w:bottom w:val="nil"/>
              <w:right w:val="nil"/>
            </w:tcBorders>
          </w:tcPr>
          <w:p w14:paraId="7A5C5FE3" w14:textId="606C8F5B" w:rsidR="00E8522E" w:rsidRPr="00A51F09" w:rsidRDefault="008B1E1E" w:rsidP="00F75387">
            <w:pPr>
              <w:jc w:val="center"/>
              <w:rPr>
                <w:sz w:val="20"/>
                <w:szCs w:val="18"/>
                <w:lang w:val="id-ID"/>
              </w:rPr>
            </w:pPr>
            <w:r w:rsidRPr="008B1E1E">
              <w:rPr>
                <w:sz w:val="20"/>
                <w:szCs w:val="18"/>
                <w:lang w:val="id-ID"/>
              </w:rPr>
              <w:t>Type of Feed</w:t>
            </w:r>
          </w:p>
        </w:tc>
      </w:tr>
      <w:tr w:rsidR="00E8522E" w:rsidRPr="00A51F09" w14:paraId="50239665" w14:textId="77777777" w:rsidTr="00F75387">
        <w:trPr>
          <w:jc w:val="center"/>
        </w:trPr>
        <w:tc>
          <w:tcPr>
            <w:tcW w:w="2038" w:type="dxa"/>
            <w:vMerge/>
            <w:tcBorders>
              <w:top w:val="single" w:sz="4" w:space="0" w:color="auto"/>
              <w:left w:val="nil"/>
              <w:bottom w:val="single" w:sz="4" w:space="0" w:color="auto"/>
              <w:right w:val="nil"/>
            </w:tcBorders>
          </w:tcPr>
          <w:p w14:paraId="197FB3D6" w14:textId="77777777" w:rsidR="00E8522E" w:rsidRPr="00A51F09" w:rsidRDefault="00E8522E" w:rsidP="00F75387">
            <w:pPr>
              <w:jc w:val="center"/>
              <w:rPr>
                <w:sz w:val="20"/>
                <w:szCs w:val="18"/>
                <w:lang w:val="id-ID"/>
              </w:rPr>
            </w:pPr>
          </w:p>
        </w:tc>
        <w:tc>
          <w:tcPr>
            <w:tcW w:w="2038" w:type="dxa"/>
            <w:tcBorders>
              <w:top w:val="nil"/>
              <w:left w:val="nil"/>
              <w:bottom w:val="single" w:sz="4" w:space="0" w:color="auto"/>
              <w:right w:val="nil"/>
            </w:tcBorders>
          </w:tcPr>
          <w:p w14:paraId="5322DA3B" w14:textId="3CE9363A" w:rsidR="00E8522E" w:rsidRPr="008B1E1E" w:rsidRDefault="008B1E1E" w:rsidP="00F75387">
            <w:pPr>
              <w:jc w:val="center"/>
              <w:rPr>
                <w:sz w:val="20"/>
                <w:szCs w:val="18"/>
              </w:rPr>
            </w:pPr>
            <w:r>
              <w:rPr>
                <w:sz w:val="20"/>
                <w:szCs w:val="18"/>
              </w:rPr>
              <w:t>Standard Feed</w:t>
            </w:r>
          </w:p>
        </w:tc>
        <w:tc>
          <w:tcPr>
            <w:tcW w:w="2038" w:type="dxa"/>
            <w:tcBorders>
              <w:top w:val="nil"/>
              <w:left w:val="nil"/>
              <w:bottom w:val="single" w:sz="4" w:space="0" w:color="auto"/>
              <w:right w:val="nil"/>
            </w:tcBorders>
          </w:tcPr>
          <w:p w14:paraId="7B1AD9D4" w14:textId="2BDED83E" w:rsidR="00E8522E" w:rsidRPr="00A51F09" w:rsidRDefault="00E00DF5" w:rsidP="00F75387">
            <w:pPr>
              <w:jc w:val="center"/>
              <w:rPr>
                <w:sz w:val="20"/>
                <w:szCs w:val="18"/>
              </w:rPr>
            </w:pPr>
            <w:r>
              <w:rPr>
                <w:sz w:val="20"/>
                <w:szCs w:val="18"/>
              </w:rPr>
              <w:t>Probiotic starter with heriyaki powder</w:t>
            </w:r>
            <w:r w:rsidR="008B1E1E">
              <w:rPr>
                <w:sz w:val="20"/>
                <w:szCs w:val="18"/>
              </w:rPr>
              <w:t xml:space="preserve"> Silage</w:t>
            </w:r>
          </w:p>
        </w:tc>
      </w:tr>
      <w:tr w:rsidR="00E8522E" w:rsidRPr="00A51F09" w14:paraId="4B4F045B" w14:textId="77777777" w:rsidTr="00F75387">
        <w:trPr>
          <w:jc w:val="center"/>
        </w:trPr>
        <w:tc>
          <w:tcPr>
            <w:tcW w:w="2038" w:type="dxa"/>
            <w:vMerge/>
            <w:tcBorders>
              <w:top w:val="single" w:sz="4" w:space="0" w:color="auto"/>
              <w:left w:val="nil"/>
              <w:bottom w:val="single" w:sz="4" w:space="0" w:color="auto"/>
              <w:right w:val="nil"/>
            </w:tcBorders>
          </w:tcPr>
          <w:p w14:paraId="004D8E9E" w14:textId="77777777" w:rsidR="00E8522E" w:rsidRPr="00A51F09" w:rsidRDefault="00E8522E" w:rsidP="00F75387">
            <w:pPr>
              <w:jc w:val="center"/>
              <w:rPr>
                <w:sz w:val="20"/>
                <w:szCs w:val="18"/>
                <w:lang w:val="id-ID"/>
              </w:rPr>
            </w:pPr>
          </w:p>
        </w:tc>
        <w:tc>
          <w:tcPr>
            <w:tcW w:w="4076" w:type="dxa"/>
            <w:gridSpan w:val="2"/>
            <w:tcBorders>
              <w:top w:val="single" w:sz="4" w:space="0" w:color="auto"/>
              <w:left w:val="nil"/>
              <w:bottom w:val="single" w:sz="4" w:space="0" w:color="auto"/>
              <w:right w:val="nil"/>
            </w:tcBorders>
          </w:tcPr>
          <w:p w14:paraId="3A64E26B" w14:textId="21B97E10" w:rsidR="00E8522E" w:rsidRPr="00A51F09" w:rsidRDefault="00E8522E" w:rsidP="00F75387">
            <w:pPr>
              <w:jc w:val="center"/>
              <w:rPr>
                <w:sz w:val="20"/>
                <w:szCs w:val="18"/>
                <w:lang w:val="id-ID"/>
              </w:rPr>
            </w:pPr>
            <w:r w:rsidRPr="00A51F09">
              <w:rPr>
                <w:sz w:val="20"/>
                <w:szCs w:val="18"/>
                <w:lang w:val="id-ID"/>
              </w:rPr>
              <w:t>------------------gram/</w:t>
            </w:r>
            <w:r w:rsidR="008B1E1E">
              <w:rPr>
                <w:sz w:val="20"/>
                <w:szCs w:val="18"/>
              </w:rPr>
              <w:t>day</w:t>
            </w:r>
            <w:r w:rsidRPr="00A51F09">
              <w:rPr>
                <w:sz w:val="20"/>
                <w:szCs w:val="18"/>
                <w:lang w:val="id-ID"/>
              </w:rPr>
              <w:t>------------------</w:t>
            </w:r>
          </w:p>
        </w:tc>
      </w:tr>
      <w:tr w:rsidR="00E8522E" w:rsidRPr="00A51F09" w14:paraId="028FCFDB" w14:textId="77777777" w:rsidTr="00F75387">
        <w:trPr>
          <w:jc w:val="center"/>
        </w:trPr>
        <w:tc>
          <w:tcPr>
            <w:tcW w:w="2038" w:type="dxa"/>
            <w:tcBorders>
              <w:top w:val="single" w:sz="4" w:space="0" w:color="auto"/>
              <w:left w:val="nil"/>
              <w:bottom w:val="nil"/>
              <w:right w:val="nil"/>
            </w:tcBorders>
          </w:tcPr>
          <w:p w14:paraId="3166E4FC" w14:textId="77777777" w:rsidR="00E8522E" w:rsidRPr="00A51F09" w:rsidRDefault="00E8522E" w:rsidP="00F75387">
            <w:pPr>
              <w:jc w:val="center"/>
              <w:rPr>
                <w:sz w:val="20"/>
                <w:szCs w:val="18"/>
                <w:lang w:val="id-ID"/>
              </w:rPr>
            </w:pPr>
            <w:r w:rsidRPr="00A51F09">
              <w:rPr>
                <w:sz w:val="20"/>
                <w:szCs w:val="18"/>
                <w:lang w:val="id-ID"/>
              </w:rPr>
              <w:t>1</w:t>
            </w:r>
          </w:p>
        </w:tc>
        <w:tc>
          <w:tcPr>
            <w:tcW w:w="2038" w:type="dxa"/>
            <w:tcBorders>
              <w:top w:val="single" w:sz="4" w:space="0" w:color="auto"/>
              <w:left w:val="nil"/>
              <w:bottom w:val="nil"/>
              <w:right w:val="nil"/>
            </w:tcBorders>
          </w:tcPr>
          <w:p w14:paraId="536B6DCA" w14:textId="77777777" w:rsidR="00E8522E" w:rsidRPr="00A51F09" w:rsidRDefault="00E8522E" w:rsidP="00F75387">
            <w:pPr>
              <w:jc w:val="center"/>
              <w:rPr>
                <w:sz w:val="20"/>
                <w:szCs w:val="18"/>
                <w:lang w:val="id-ID"/>
              </w:rPr>
            </w:pPr>
            <w:r w:rsidRPr="00A51F09">
              <w:rPr>
                <w:sz w:val="20"/>
                <w:szCs w:val="18"/>
                <w:lang w:val="id-ID"/>
              </w:rPr>
              <w:t>669.5</w:t>
            </w:r>
          </w:p>
        </w:tc>
        <w:tc>
          <w:tcPr>
            <w:tcW w:w="2038" w:type="dxa"/>
            <w:tcBorders>
              <w:top w:val="single" w:sz="4" w:space="0" w:color="auto"/>
              <w:left w:val="nil"/>
              <w:bottom w:val="nil"/>
              <w:right w:val="nil"/>
            </w:tcBorders>
          </w:tcPr>
          <w:p w14:paraId="5B5FBAD8" w14:textId="77777777" w:rsidR="00E8522E" w:rsidRPr="00A51F09" w:rsidRDefault="00E8522E" w:rsidP="00F75387">
            <w:pPr>
              <w:jc w:val="center"/>
              <w:rPr>
                <w:sz w:val="20"/>
                <w:szCs w:val="18"/>
                <w:lang w:val="id-ID"/>
              </w:rPr>
            </w:pPr>
            <w:r w:rsidRPr="00A51F09">
              <w:rPr>
                <w:sz w:val="20"/>
                <w:szCs w:val="18"/>
                <w:lang w:val="id-ID"/>
              </w:rPr>
              <w:t>817.5</w:t>
            </w:r>
          </w:p>
        </w:tc>
      </w:tr>
      <w:tr w:rsidR="00E8522E" w:rsidRPr="00A51F09" w14:paraId="596EFBCC" w14:textId="77777777" w:rsidTr="00F75387">
        <w:trPr>
          <w:jc w:val="center"/>
        </w:trPr>
        <w:tc>
          <w:tcPr>
            <w:tcW w:w="2038" w:type="dxa"/>
            <w:tcBorders>
              <w:top w:val="nil"/>
              <w:left w:val="nil"/>
              <w:bottom w:val="nil"/>
              <w:right w:val="nil"/>
            </w:tcBorders>
          </w:tcPr>
          <w:p w14:paraId="6225C0CD" w14:textId="77777777" w:rsidR="00E8522E" w:rsidRPr="00A51F09" w:rsidRDefault="00E8522E" w:rsidP="00F75387">
            <w:pPr>
              <w:jc w:val="center"/>
              <w:rPr>
                <w:sz w:val="20"/>
                <w:szCs w:val="18"/>
                <w:lang w:val="id-ID"/>
              </w:rPr>
            </w:pPr>
            <w:r w:rsidRPr="00A51F09">
              <w:rPr>
                <w:sz w:val="20"/>
                <w:szCs w:val="18"/>
                <w:lang w:val="id-ID"/>
              </w:rPr>
              <w:t>2</w:t>
            </w:r>
          </w:p>
        </w:tc>
        <w:tc>
          <w:tcPr>
            <w:tcW w:w="2038" w:type="dxa"/>
            <w:tcBorders>
              <w:top w:val="nil"/>
              <w:left w:val="nil"/>
              <w:bottom w:val="nil"/>
              <w:right w:val="nil"/>
            </w:tcBorders>
          </w:tcPr>
          <w:p w14:paraId="5D6253D0" w14:textId="77777777" w:rsidR="00E8522E" w:rsidRPr="00A51F09" w:rsidRDefault="00E8522E" w:rsidP="00F75387">
            <w:pPr>
              <w:jc w:val="center"/>
              <w:rPr>
                <w:sz w:val="20"/>
                <w:szCs w:val="18"/>
                <w:lang w:val="id-ID"/>
              </w:rPr>
            </w:pPr>
            <w:r w:rsidRPr="00A51F09">
              <w:rPr>
                <w:sz w:val="20"/>
                <w:szCs w:val="18"/>
                <w:lang w:val="id-ID"/>
              </w:rPr>
              <w:t>561</w:t>
            </w:r>
          </w:p>
        </w:tc>
        <w:tc>
          <w:tcPr>
            <w:tcW w:w="2038" w:type="dxa"/>
            <w:tcBorders>
              <w:top w:val="nil"/>
              <w:left w:val="nil"/>
              <w:bottom w:val="nil"/>
              <w:right w:val="nil"/>
            </w:tcBorders>
          </w:tcPr>
          <w:p w14:paraId="20362D27" w14:textId="77777777" w:rsidR="00E8522E" w:rsidRPr="00A51F09" w:rsidRDefault="00E8522E" w:rsidP="00F75387">
            <w:pPr>
              <w:jc w:val="center"/>
              <w:rPr>
                <w:sz w:val="20"/>
                <w:szCs w:val="18"/>
                <w:lang w:val="id-ID"/>
              </w:rPr>
            </w:pPr>
            <w:r w:rsidRPr="00A51F09">
              <w:rPr>
                <w:sz w:val="20"/>
                <w:szCs w:val="18"/>
                <w:lang w:val="id-ID"/>
              </w:rPr>
              <w:t>707</w:t>
            </w:r>
          </w:p>
        </w:tc>
      </w:tr>
      <w:tr w:rsidR="00E8522E" w:rsidRPr="00A51F09" w14:paraId="211F516D" w14:textId="77777777" w:rsidTr="00F75387">
        <w:trPr>
          <w:jc w:val="center"/>
        </w:trPr>
        <w:tc>
          <w:tcPr>
            <w:tcW w:w="2038" w:type="dxa"/>
            <w:tcBorders>
              <w:top w:val="nil"/>
              <w:left w:val="nil"/>
              <w:bottom w:val="nil"/>
              <w:right w:val="nil"/>
            </w:tcBorders>
          </w:tcPr>
          <w:p w14:paraId="11BE97A8" w14:textId="77777777" w:rsidR="00E8522E" w:rsidRPr="00A51F09" w:rsidRDefault="00E8522E" w:rsidP="00F75387">
            <w:pPr>
              <w:jc w:val="center"/>
              <w:rPr>
                <w:sz w:val="20"/>
                <w:szCs w:val="18"/>
                <w:lang w:val="id-ID"/>
              </w:rPr>
            </w:pPr>
            <w:r w:rsidRPr="00A51F09">
              <w:rPr>
                <w:sz w:val="20"/>
                <w:szCs w:val="18"/>
                <w:lang w:val="id-ID"/>
              </w:rPr>
              <w:t>3</w:t>
            </w:r>
          </w:p>
        </w:tc>
        <w:tc>
          <w:tcPr>
            <w:tcW w:w="2038" w:type="dxa"/>
            <w:tcBorders>
              <w:top w:val="nil"/>
              <w:left w:val="nil"/>
              <w:bottom w:val="nil"/>
              <w:right w:val="nil"/>
            </w:tcBorders>
          </w:tcPr>
          <w:p w14:paraId="57CCB3A3" w14:textId="77777777" w:rsidR="00E8522E" w:rsidRPr="00A51F09" w:rsidRDefault="00E8522E" w:rsidP="00F75387">
            <w:pPr>
              <w:jc w:val="center"/>
              <w:rPr>
                <w:sz w:val="20"/>
                <w:szCs w:val="18"/>
                <w:lang w:val="id-ID"/>
              </w:rPr>
            </w:pPr>
            <w:r w:rsidRPr="00A51F09">
              <w:rPr>
                <w:sz w:val="20"/>
                <w:szCs w:val="18"/>
                <w:lang w:val="id-ID"/>
              </w:rPr>
              <w:t>456</w:t>
            </w:r>
          </w:p>
        </w:tc>
        <w:tc>
          <w:tcPr>
            <w:tcW w:w="2038" w:type="dxa"/>
            <w:tcBorders>
              <w:top w:val="nil"/>
              <w:left w:val="nil"/>
              <w:bottom w:val="nil"/>
              <w:right w:val="nil"/>
            </w:tcBorders>
          </w:tcPr>
          <w:p w14:paraId="6314697A" w14:textId="77777777" w:rsidR="00E8522E" w:rsidRPr="00A51F09" w:rsidRDefault="00E8522E" w:rsidP="00F75387">
            <w:pPr>
              <w:jc w:val="center"/>
              <w:rPr>
                <w:sz w:val="20"/>
                <w:szCs w:val="18"/>
                <w:lang w:val="id-ID"/>
              </w:rPr>
            </w:pPr>
            <w:r w:rsidRPr="00A51F09">
              <w:rPr>
                <w:sz w:val="20"/>
                <w:szCs w:val="18"/>
                <w:lang w:val="id-ID"/>
              </w:rPr>
              <w:t>644.5</w:t>
            </w:r>
          </w:p>
        </w:tc>
      </w:tr>
      <w:tr w:rsidR="00E8522E" w:rsidRPr="00A51F09" w14:paraId="1E3227BA" w14:textId="77777777" w:rsidTr="00F75387">
        <w:trPr>
          <w:trHeight w:val="258"/>
          <w:jc w:val="center"/>
        </w:trPr>
        <w:tc>
          <w:tcPr>
            <w:tcW w:w="2038" w:type="dxa"/>
            <w:tcBorders>
              <w:top w:val="nil"/>
              <w:left w:val="nil"/>
              <w:bottom w:val="nil"/>
              <w:right w:val="nil"/>
            </w:tcBorders>
          </w:tcPr>
          <w:p w14:paraId="49838FD9" w14:textId="77777777" w:rsidR="00E8522E" w:rsidRPr="00A51F09" w:rsidRDefault="00E8522E" w:rsidP="00F75387">
            <w:pPr>
              <w:jc w:val="center"/>
              <w:rPr>
                <w:sz w:val="20"/>
                <w:szCs w:val="18"/>
                <w:lang w:val="id-ID"/>
              </w:rPr>
            </w:pPr>
            <w:r w:rsidRPr="00A51F09">
              <w:rPr>
                <w:sz w:val="20"/>
                <w:szCs w:val="18"/>
                <w:lang w:val="id-ID"/>
              </w:rPr>
              <w:t>4</w:t>
            </w:r>
          </w:p>
        </w:tc>
        <w:tc>
          <w:tcPr>
            <w:tcW w:w="2038" w:type="dxa"/>
            <w:tcBorders>
              <w:top w:val="nil"/>
              <w:left w:val="nil"/>
              <w:bottom w:val="nil"/>
              <w:right w:val="nil"/>
            </w:tcBorders>
          </w:tcPr>
          <w:p w14:paraId="57325C16" w14:textId="77777777" w:rsidR="00E8522E" w:rsidRPr="00A51F09" w:rsidRDefault="00E8522E" w:rsidP="00F75387">
            <w:pPr>
              <w:jc w:val="center"/>
              <w:rPr>
                <w:sz w:val="20"/>
                <w:szCs w:val="18"/>
                <w:lang w:val="id-ID"/>
              </w:rPr>
            </w:pPr>
            <w:r w:rsidRPr="00A51F09">
              <w:rPr>
                <w:sz w:val="20"/>
                <w:szCs w:val="18"/>
                <w:lang w:val="id-ID"/>
              </w:rPr>
              <w:t>608.5</w:t>
            </w:r>
          </w:p>
        </w:tc>
        <w:tc>
          <w:tcPr>
            <w:tcW w:w="2038" w:type="dxa"/>
            <w:tcBorders>
              <w:top w:val="nil"/>
              <w:left w:val="nil"/>
              <w:bottom w:val="nil"/>
              <w:right w:val="nil"/>
            </w:tcBorders>
          </w:tcPr>
          <w:p w14:paraId="4203932E" w14:textId="77777777" w:rsidR="00E8522E" w:rsidRPr="00A51F09" w:rsidRDefault="00E8522E" w:rsidP="00F75387">
            <w:pPr>
              <w:jc w:val="center"/>
              <w:rPr>
                <w:sz w:val="20"/>
                <w:szCs w:val="18"/>
                <w:lang w:val="id-ID"/>
              </w:rPr>
            </w:pPr>
            <w:r w:rsidRPr="00A51F09">
              <w:rPr>
                <w:sz w:val="20"/>
                <w:szCs w:val="18"/>
                <w:lang w:val="id-ID"/>
              </w:rPr>
              <w:t>715</w:t>
            </w:r>
          </w:p>
        </w:tc>
      </w:tr>
      <w:tr w:rsidR="00E8522E" w:rsidRPr="00A51F09" w14:paraId="64B91783" w14:textId="77777777" w:rsidTr="00F75387">
        <w:trPr>
          <w:jc w:val="center"/>
        </w:trPr>
        <w:tc>
          <w:tcPr>
            <w:tcW w:w="2038" w:type="dxa"/>
            <w:tcBorders>
              <w:top w:val="nil"/>
              <w:left w:val="nil"/>
              <w:bottom w:val="single" w:sz="4" w:space="0" w:color="auto"/>
              <w:right w:val="nil"/>
            </w:tcBorders>
          </w:tcPr>
          <w:p w14:paraId="052AC026" w14:textId="77777777" w:rsidR="00E8522E" w:rsidRPr="00A51F09" w:rsidRDefault="00E8522E" w:rsidP="00F75387">
            <w:pPr>
              <w:jc w:val="center"/>
              <w:rPr>
                <w:sz w:val="20"/>
                <w:szCs w:val="18"/>
                <w:lang w:val="id-ID"/>
              </w:rPr>
            </w:pPr>
            <w:r w:rsidRPr="00A51F09">
              <w:rPr>
                <w:sz w:val="20"/>
                <w:szCs w:val="18"/>
                <w:lang w:val="id-ID"/>
              </w:rPr>
              <w:t>5</w:t>
            </w:r>
          </w:p>
        </w:tc>
        <w:tc>
          <w:tcPr>
            <w:tcW w:w="2038" w:type="dxa"/>
            <w:tcBorders>
              <w:top w:val="nil"/>
              <w:left w:val="nil"/>
              <w:bottom w:val="single" w:sz="4" w:space="0" w:color="auto"/>
              <w:right w:val="nil"/>
            </w:tcBorders>
          </w:tcPr>
          <w:p w14:paraId="541A2069" w14:textId="77777777" w:rsidR="00E8522E" w:rsidRPr="00A51F09" w:rsidRDefault="00E8522E" w:rsidP="00F75387">
            <w:pPr>
              <w:jc w:val="center"/>
              <w:rPr>
                <w:sz w:val="20"/>
                <w:szCs w:val="18"/>
                <w:lang w:val="id-ID"/>
              </w:rPr>
            </w:pPr>
            <w:r w:rsidRPr="00A51F09">
              <w:rPr>
                <w:sz w:val="20"/>
                <w:szCs w:val="18"/>
                <w:lang w:val="id-ID"/>
              </w:rPr>
              <w:t>442</w:t>
            </w:r>
          </w:p>
        </w:tc>
        <w:tc>
          <w:tcPr>
            <w:tcW w:w="2038" w:type="dxa"/>
            <w:tcBorders>
              <w:top w:val="nil"/>
              <w:left w:val="nil"/>
              <w:bottom w:val="single" w:sz="4" w:space="0" w:color="auto"/>
              <w:right w:val="nil"/>
            </w:tcBorders>
          </w:tcPr>
          <w:p w14:paraId="095A353D" w14:textId="77777777" w:rsidR="00E8522E" w:rsidRPr="00A51F09" w:rsidRDefault="00E8522E" w:rsidP="00F75387">
            <w:pPr>
              <w:jc w:val="center"/>
              <w:rPr>
                <w:sz w:val="20"/>
                <w:szCs w:val="18"/>
                <w:lang w:val="id-ID"/>
              </w:rPr>
            </w:pPr>
            <w:r w:rsidRPr="00A51F09">
              <w:rPr>
                <w:sz w:val="20"/>
                <w:szCs w:val="18"/>
                <w:lang w:val="id-ID"/>
              </w:rPr>
              <w:t>621.5</w:t>
            </w:r>
          </w:p>
        </w:tc>
      </w:tr>
      <w:tr w:rsidR="00E8522E" w:rsidRPr="00A51F09" w14:paraId="1ECE623D" w14:textId="77777777" w:rsidTr="00F75387">
        <w:trPr>
          <w:jc w:val="center"/>
        </w:trPr>
        <w:tc>
          <w:tcPr>
            <w:tcW w:w="2038" w:type="dxa"/>
            <w:tcBorders>
              <w:top w:val="single" w:sz="4" w:space="0" w:color="auto"/>
              <w:left w:val="nil"/>
              <w:bottom w:val="single" w:sz="4" w:space="0" w:color="auto"/>
              <w:right w:val="nil"/>
            </w:tcBorders>
          </w:tcPr>
          <w:p w14:paraId="2BC7D8D4" w14:textId="5CF968CB" w:rsidR="00E8522E" w:rsidRPr="008B1E1E" w:rsidRDefault="008B1E1E" w:rsidP="00F75387">
            <w:pPr>
              <w:jc w:val="center"/>
              <w:rPr>
                <w:sz w:val="20"/>
                <w:szCs w:val="18"/>
              </w:rPr>
            </w:pPr>
            <w:r>
              <w:rPr>
                <w:sz w:val="20"/>
                <w:szCs w:val="18"/>
              </w:rPr>
              <w:t>Average</w:t>
            </w:r>
          </w:p>
        </w:tc>
        <w:tc>
          <w:tcPr>
            <w:tcW w:w="2038" w:type="dxa"/>
            <w:tcBorders>
              <w:top w:val="single" w:sz="4" w:space="0" w:color="auto"/>
              <w:left w:val="nil"/>
              <w:bottom w:val="single" w:sz="4" w:space="0" w:color="auto"/>
              <w:right w:val="nil"/>
            </w:tcBorders>
          </w:tcPr>
          <w:p w14:paraId="2CD6077F" w14:textId="77777777" w:rsidR="00E8522E" w:rsidRPr="00A51F09" w:rsidRDefault="00E8522E" w:rsidP="00F75387">
            <w:pPr>
              <w:jc w:val="center"/>
              <w:rPr>
                <w:sz w:val="20"/>
                <w:szCs w:val="18"/>
                <w:lang w:val="id-ID"/>
              </w:rPr>
            </w:pPr>
            <w:r w:rsidRPr="00A51F09">
              <w:rPr>
                <w:sz w:val="20"/>
                <w:szCs w:val="18"/>
                <w:lang w:val="id-ID"/>
              </w:rPr>
              <w:t>547.4 ± 97.8</w:t>
            </w:r>
          </w:p>
        </w:tc>
        <w:tc>
          <w:tcPr>
            <w:tcW w:w="2038" w:type="dxa"/>
            <w:tcBorders>
              <w:top w:val="single" w:sz="4" w:space="0" w:color="auto"/>
              <w:left w:val="nil"/>
              <w:bottom w:val="single" w:sz="4" w:space="0" w:color="auto"/>
              <w:right w:val="nil"/>
            </w:tcBorders>
          </w:tcPr>
          <w:p w14:paraId="29EA5BBE" w14:textId="77777777" w:rsidR="00E8522E" w:rsidRPr="00A51F09" w:rsidRDefault="00E8522E" w:rsidP="00F75387">
            <w:pPr>
              <w:jc w:val="center"/>
              <w:rPr>
                <w:sz w:val="20"/>
                <w:szCs w:val="18"/>
                <w:lang w:val="id-ID"/>
              </w:rPr>
            </w:pPr>
            <w:r w:rsidRPr="00A51F09">
              <w:rPr>
                <w:sz w:val="20"/>
                <w:szCs w:val="18"/>
                <w:lang w:val="id-ID"/>
              </w:rPr>
              <w:t>701.1 ± 76.3</w:t>
            </w:r>
          </w:p>
        </w:tc>
      </w:tr>
    </w:tbl>
    <w:p w14:paraId="6E9B8C4F" w14:textId="77777777" w:rsidR="00E8522E" w:rsidRDefault="00E8522E" w:rsidP="00E8522E">
      <w:pPr>
        <w:rPr>
          <w:lang w:val="id-ID"/>
        </w:rPr>
      </w:pPr>
    </w:p>
    <w:p w14:paraId="4F21C9CB" w14:textId="77777777" w:rsidR="00CC1794" w:rsidRDefault="00CC1794" w:rsidP="008638E6">
      <w:pPr>
        <w:ind w:left="900" w:hanging="900"/>
      </w:pPr>
    </w:p>
    <w:p w14:paraId="0EF2441A" w14:textId="77777777" w:rsidR="00874A71" w:rsidRDefault="00874A71" w:rsidP="008638E6">
      <w:pPr>
        <w:ind w:left="900" w:hanging="900"/>
      </w:pPr>
    </w:p>
    <w:p w14:paraId="3AEDCE83" w14:textId="77777777" w:rsidR="00874A71" w:rsidRDefault="00874A71" w:rsidP="008638E6">
      <w:pPr>
        <w:ind w:left="900" w:hanging="900"/>
      </w:pPr>
    </w:p>
    <w:p w14:paraId="4D805715" w14:textId="77777777" w:rsidR="00874A71" w:rsidRPr="00E83660" w:rsidRDefault="00874A71" w:rsidP="008638E6">
      <w:pPr>
        <w:ind w:left="900" w:hanging="900"/>
      </w:pPr>
    </w:p>
    <w:p w14:paraId="3ACDEF05" w14:textId="77777777" w:rsidR="00A51F09" w:rsidRPr="00A51F09" w:rsidRDefault="00A51F09" w:rsidP="008638E6">
      <w:pPr>
        <w:ind w:left="900" w:hanging="900"/>
        <w:rPr>
          <w:b/>
          <w:bCs/>
        </w:rPr>
      </w:pPr>
      <w:r w:rsidRPr="00A51F09">
        <w:fldChar w:fldCharType="end"/>
      </w:r>
    </w:p>
    <w:p w14:paraId="5DAA18A1" w14:textId="77777777" w:rsidR="00FA34BF" w:rsidRDefault="00FA34BF"/>
    <w:sectPr w:rsidR="00FA34BF" w:rsidSect="001C4EE0">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14325" w14:textId="77777777" w:rsidR="00A829C7" w:rsidRDefault="00A829C7" w:rsidP="00CC1794">
      <w:pPr>
        <w:spacing w:line="240" w:lineRule="auto"/>
      </w:pPr>
      <w:r>
        <w:separator/>
      </w:r>
    </w:p>
  </w:endnote>
  <w:endnote w:type="continuationSeparator" w:id="0">
    <w:p w14:paraId="34AB813C" w14:textId="77777777" w:rsidR="00A829C7" w:rsidRDefault="00A829C7" w:rsidP="00CC17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script"/>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AD307" w14:textId="77777777" w:rsidR="00A829C7" w:rsidRDefault="00A829C7" w:rsidP="00CC1794">
      <w:pPr>
        <w:spacing w:line="240" w:lineRule="auto"/>
      </w:pPr>
      <w:r>
        <w:separator/>
      </w:r>
    </w:p>
  </w:footnote>
  <w:footnote w:type="continuationSeparator" w:id="0">
    <w:p w14:paraId="7FFDA6D2" w14:textId="77777777" w:rsidR="00A829C7" w:rsidRDefault="00A829C7" w:rsidP="00CC17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4CE9"/>
    <w:multiLevelType w:val="hybridMultilevel"/>
    <w:tmpl w:val="4CEC5516"/>
    <w:lvl w:ilvl="0" w:tplc="10420BBA">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D860348"/>
    <w:multiLevelType w:val="hybridMultilevel"/>
    <w:tmpl w:val="937EEBDE"/>
    <w:lvl w:ilvl="0" w:tplc="E4FEA37E">
      <w:start w:val="1"/>
      <w:numFmt w:val="upperLetter"/>
      <w:lvlText w:val="(%1)"/>
      <w:lvlJc w:val="left"/>
      <w:pPr>
        <w:ind w:left="1148" w:hanging="360"/>
      </w:pPr>
      <w:rPr>
        <w:rFonts w:hint="default"/>
      </w:rPr>
    </w:lvl>
    <w:lvl w:ilvl="1" w:tplc="38090019" w:tentative="1">
      <w:start w:val="1"/>
      <w:numFmt w:val="lowerLetter"/>
      <w:lvlText w:val="%2."/>
      <w:lvlJc w:val="left"/>
      <w:pPr>
        <w:ind w:left="1868" w:hanging="360"/>
      </w:pPr>
    </w:lvl>
    <w:lvl w:ilvl="2" w:tplc="3809001B" w:tentative="1">
      <w:start w:val="1"/>
      <w:numFmt w:val="lowerRoman"/>
      <w:lvlText w:val="%3."/>
      <w:lvlJc w:val="right"/>
      <w:pPr>
        <w:ind w:left="2588" w:hanging="180"/>
      </w:pPr>
    </w:lvl>
    <w:lvl w:ilvl="3" w:tplc="3809000F" w:tentative="1">
      <w:start w:val="1"/>
      <w:numFmt w:val="decimal"/>
      <w:lvlText w:val="%4."/>
      <w:lvlJc w:val="left"/>
      <w:pPr>
        <w:ind w:left="3308" w:hanging="360"/>
      </w:pPr>
    </w:lvl>
    <w:lvl w:ilvl="4" w:tplc="38090019" w:tentative="1">
      <w:start w:val="1"/>
      <w:numFmt w:val="lowerLetter"/>
      <w:lvlText w:val="%5."/>
      <w:lvlJc w:val="left"/>
      <w:pPr>
        <w:ind w:left="4028" w:hanging="360"/>
      </w:pPr>
    </w:lvl>
    <w:lvl w:ilvl="5" w:tplc="3809001B" w:tentative="1">
      <w:start w:val="1"/>
      <w:numFmt w:val="lowerRoman"/>
      <w:lvlText w:val="%6."/>
      <w:lvlJc w:val="right"/>
      <w:pPr>
        <w:ind w:left="4748" w:hanging="180"/>
      </w:pPr>
    </w:lvl>
    <w:lvl w:ilvl="6" w:tplc="3809000F" w:tentative="1">
      <w:start w:val="1"/>
      <w:numFmt w:val="decimal"/>
      <w:lvlText w:val="%7."/>
      <w:lvlJc w:val="left"/>
      <w:pPr>
        <w:ind w:left="5468" w:hanging="360"/>
      </w:pPr>
    </w:lvl>
    <w:lvl w:ilvl="7" w:tplc="38090019" w:tentative="1">
      <w:start w:val="1"/>
      <w:numFmt w:val="lowerLetter"/>
      <w:lvlText w:val="%8."/>
      <w:lvlJc w:val="left"/>
      <w:pPr>
        <w:ind w:left="6188" w:hanging="360"/>
      </w:pPr>
    </w:lvl>
    <w:lvl w:ilvl="8" w:tplc="3809001B" w:tentative="1">
      <w:start w:val="1"/>
      <w:numFmt w:val="lowerRoman"/>
      <w:lvlText w:val="%9."/>
      <w:lvlJc w:val="right"/>
      <w:pPr>
        <w:ind w:left="6908" w:hanging="180"/>
      </w:pPr>
    </w:lvl>
  </w:abstractNum>
  <w:abstractNum w:abstractNumId="2" w15:restartNumberingAfterBreak="0">
    <w:nsid w:val="16CD60E7"/>
    <w:multiLevelType w:val="hybridMultilevel"/>
    <w:tmpl w:val="D8E423C4"/>
    <w:lvl w:ilvl="0" w:tplc="CC1E15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15:restartNumberingAfterBreak="0">
    <w:nsid w:val="1D044D7D"/>
    <w:multiLevelType w:val="multilevel"/>
    <w:tmpl w:val="1D044D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1316F2"/>
    <w:multiLevelType w:val="multilevel"/>
    <w:tmpl w:val="241316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D72E20"/>
    <w:multiLevelType w:val="multilevel"/>
    <w:tmpl w:val="17B025E6"/>
    <w:lvl w:ilvl="0">
      <w:start w:val="1"/>
      <w:numFmt w:val="decimal"/>
      <w:lvlText w:val="%1."/>
      <w:lvlJc w:val="left"/>
      <w:pPr>
        <w:ind w:left="720" w:hanging="360"/>
      </w:pPr>
      <w:rPr>
        <w:rFonts w:hint="default"/>
      </w:rPr>
    </w:lvl>
    <w:lvl w:ilvl="1">
      <w:start w:val="1"/>
      <w:numFmt w:val="upperLetter"/>
      <w:lvlText w:val="%2."/>
      <w:lvlJc w:val="left"/>
      <w:pPr>
        <w:ind w:left="360" w:hanging="360"/>
      </w:pPr>
      <w:rPr>
        <w:rFonts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DE5A79"/>
    <w:multiLevelType w:val="multilevel"/>
    <w:tmpl w:val="73DE5A7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4E13D3"/>
    <w:multiLevelType w:val="hybridMultilevel"/>
    <w:tmpl w:val="63728AEC"/>
    <w:lvl w:ilvl="0" w:tplc="7E9A3D92">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num w:numId="1" w16cid:durableId="879509994">
    <w:abstractNumId w:val="4"/>
  </w:num>
  <w:num w:numId="2" w16cid:durableId="331951193">
    <w:abstractNumId w:val="6"/>
  </w:num>
  <w:num w:numId="3" w16cid:durableId="23405973">
    <w:abstractNumId w:val="3"/>
  </w:num>
  <w:num w:numId="4" w16cid:durableId="541940455">
    <w:abstractNumId w:val="5"/>
  </w:num>
  <w:num w:numId="5" w16cid:durableId="1936475453">
    <w:abstractNumId w:val="2"/>
  </w:num>
  <w:num w:numId="6" w16cid:durableId="1359085760">
    <w:abstractNumId w:val="1"/>
  </w:num>
  <w:num w:numId="7" w16cid:durableId="2074308726">
    <w:abstractNumId w:val="7"/>
  </w:num>
  <w:num w:numId="8" w16cid:durableId="513963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09"/>
    <w:rsid w:val="00035848"/>
    <w:rsid w:val="001120D5"/>
    <w:rsid w:val="001175AD"/>
    <w:rsid w:val="00151ECC"/>
    <w:rsid w:val="00180101"/>
    <w:rsid w:val="00197DC0"/>
    <w:rsid w:val="001C1E24"/>
    <w:rsid w:val="001C4EE0"/>
    <w:rsid w:val="001D0C1C"/>
    <w:rsid w:val="001F29F1"/>
    <w:rsid w:val="00205102"/>
    <w:rsid w:val="00217EDA"/>
    <w:rsid w:val="00227E12"/>
    <w:rsid w:val="002572B9"/>
    <w:rsid w:val="00281DBB"/>
    <w:rsid w:val="002F7DC2"/>
    <w:rsid w:val="00311BAD"/>
    <w:rsid w:val="00327E90"/>
    <w:rsid w:val="0040767B"/>
    <w:rsid w:val="00423CA3"/>
    <w:rsid w:val="004433A8"/>
    <w:rsid w:val="004555FE"/>
    <w:rsid w:val="004647A6"/>
    <w:rsid w:val="004812B7"/>
    <w:rsid w:val="004837DA"/>
    <w:rsid w:val="005211A8"/>
    <w:rsid w:val="00532306"/>
    <w:rsid w:val="00561DC1"/>
    <w:rsid w:val="005976F1"/>
    <w:rsid w:val="005C3EBD"/>
    <w:rsid w:val="00611F15"/>
    <w:rsid w:val="00612750"/>
    <w:rsid w:val="00627A34"/>
    <w:rsid w:val="00633F08"/>
    <w:rsid w:val="00646D46"/>
    <w:rsid w:val="006C3E10"/>
    <w:rsid w:val="006F7328"/>
    <w:rsid w:val="0075114F"/>
    <w:rsid w:val="00754435"/>
    <w:rsid w:val="007831F5"/>
    <w:rsid w:val="00790ADD"/>
    <w:rsid w:val="007A05C6"/>
    <w:rsid w:val="0084617C"/>
    <w:rsid w:val="008638E6"/>
    <w:rsid w:val="00874A71"/>
    <w:rsid w:val="0087777D"/>
    <w:rsid w:val="008B1E1E"/>
    <w:rsid w:val="008D050F"/>
    <w:rsid w:val="00923302"/>
    <w:rsid w:val="00945176"/>
    <w:rsid w:val="009571BA"/>
    <w:rsid w:val="00967E13"/>
    <w:rsid w:val="009704D8"/>
    <w:rsid w:val="009716EE"/>
    <w:rsid w:val="00972C38"/>
    <w:rsid w:val="0098324D"/>
    <w:rsid w:val="009A3EEC"/>
    <w:rsid w:val="009F0BCA"/>
    <w:rsid w:val="00A26BF9"/>
    <w:rsid w:val="00A51F09"/>
    <w:rsid w:val="00A649D9"/>
    <w:rsid w:val="00A829C7"/>
    <w:rsid w:val="00AE408E"/>
    <w:rsid w:val="00B024B7"/>
    <w:rsid w:val="00B11C96"/>
    <w:rsid w:val="00B21B5C"/>
    <w:rsid w:val="00B3734A"/>
    <w:rsid w:val="00B63F32"/>
    <w:rsid w:val="00B726E6"/>
    <w:rsid w:val="00B817E0"/>
    <w:rsid w:val="00BA236A"/>
    <w:rsid w:val="00BB273D"/>
    <w:rsid w:val="00BB3B7F"/>
    <w:rsid w:val="00BC75E1"/>
    <w:rsid w:val="00BF4F0D"/>
    <w:rsid w:val="00C25744"/>
    <w:rsid w:val="00C33724"/>
    <w:rsid w:val="00C5289E"/>
    <w:rsid w:val="00CA1DB7"/>
    <w:rsid w:val="00CB2808"/>
    <w:rsid w:val="00CB5660"/>
    <w:rsid w:val="00CC1794"/>
    <w:rsid w:val="00CD341D"/>
    <w:rsid w:val="00CD74D8"/>
    <w:rsid w:val="00CE6E58"/>
    <w:rsid w:val="00D3795F"/>
    <w:rsid w:val="00D66BD2"/>
    <w:rsid w:val="00DF6F2F"/>
    <w:rsid w:val="00E00DF5"/>
    <w:rsid w:val="00E61478"/>
    <w:rsid w:val="00E668DB"/>
    <w:rsid w:val="00E83660"/>
    <w:rsid w:val="00E8522E"/>
    <w:rsid w:val="00F256F6"/>
    <w:rsid w:val="00F37D33"/>
    <w:rsid w:val="00F73074"/>
    <w:rsid w:val="00F74809"/>
    <w:rsid w:val="00F94964"/>
    <w:rsid w:val="00F954A1"/>
    <w:rsid w:val="00FA34BF"/>
    <w:rsid w:val="00FD70B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F06DD"/>
  <w15:chartTrackingRefBased/>
  <w15:docId w15:val="{50C1F7E4-D49D-4275-AFAB-B408AFF3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C38"/>
    <w:pPr>
      <w:spacing w:after="0" w:line="360" w:lineRule="auto"/>
      <w:jc w:val="both"/>
    </w:pPr>
    <w:rPr>
      <w:rFonts w:ascii="Times New Roman" w:hAnsi="Times New Roman"/>
      <w:noProof/>
      <w:sz w:val="24"/>
    </w:rPr>
  </w:style>
  <w:style w:type="paragraph" w:styleId="Heading1">
    <w:name w:val="heading 1"/>
    <w:basedOn w:val="Normal"/>
    <w:next w:val="Normal"/>
    <w:link w:val="Heading1Char"/>
    <w:autoRedefine/>
    <w:uiPriority w:val="9"/>
    <w:qFormat/>
    <w:rsid w:val="00972C38"/>
    <w:pPr>
      <w:keepNext/>
      <w:keepLines/>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semiHidden/>
    <w:unhideWhenUsed/>
    <w:qFormat/>
    <w:rsid w:val="00972C38"/>
    <w:pPr>
      <w:keepNext/>
      <w:keepLines/>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semiHidden/>
    <w:unhideWhenUsed/>
    <w:qFormat/>
    <w:rsid w:val="00972C38"/>
    <w:pPr>
      <w:keepNext/>
      <w:keepLines/>
      <w:outlineLvl w:val="2"/>
    </w:pPr>
    <w:rPr>
      <w:rFonts w:eastAsiaTheme="majorEastAsia" w:cstheme="majorBid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C38"/>
    <w:rPr>
      <w:rFonts w:ascii="Times New Roman" w:eastAsiaTheme="majorEastAsia" w:hAnsi="Times New Roman" w:cstheme="majorBidi"/>
      <w:b/>
      <w:noProof/>
      <w:color w:val="000000" w:themeColor="text1"/>
      <w:sz w:val="24"/>
      <w:szCs w:val="32"/>
    </w:rPr>
  </w:style>
  <w:style w:type="character" w:customStyle="1" w:styleId="Heading2Char">
    <w:name w:val="Heading 2 Char"/>
    <w:basedOn w:val="DefaultParagraphFont"/>
    <w:link w:val="Heading2"/>
    <w:uiPriority w:val="9"/>
    <w:semiHidden/>
    <w:rsid w:val="00972C38"/>
    <w:rPr>
      <w:rFonts w:ascii="Times New Roman" w:eastAsiaTheme="majorEastAsia" w:hAnsi="Times New Roman" w:cstheme="majorBidi"/>
      <w:b/>
      <w:noProof/>
      <w:color w:val="000000" w:themeColor="text1"/>
      <w:sz w:val="24"/>
      <w:szCs w:val="26"/>
    </w:rPr>
  </w:style>
  <w:style w:type="character" w:customStyle="1" w:styleId="Heading3Char">
    <w:name w:val="Heading 3 Char"/>
    <w:basedOn w:val="DefaultParagraphFont"/>
    <w:link w:val="Heading3"/>
    <w:uiPriority w:val="9"/>
    <w:semiHidden/>
    <w:rsid w:val="00972C38"/>
    <w:rPr>
      <w:rFonts w:ascii="Times New Roman" w:eastAsiaTheme="majorEastAsia" w:hAnsi="Times New Roman" w:cstheme="majorBidi"/>
      <w:noProof/>
      <w:color w:val="000000" w:themeColor="text1"/>
      <w:sz w:val="24"/>
      <w:szCs w:val="24"/>
    </w:rPr>
  </w:style>
  <w:style w:type="table" w:styleId="TableGrid">
    <w:name w:val="Table Grid"/>
    <w:basedOn w:val="TableNormal"/>
    <w:uiPriority w:val="99"/>
    <w:qFormat/>
    <w:rsid w:val="00A5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1F09"/>
    <w:rPr>
      <w:color w:val="0563C1" w:themeColor="hyperlink"/>
      <w:u w:val="single"/>
    </w:rPr>
  </w:style>
  <w:style w:type="character" w:styleId="UnresolvedMention">
    <w:name w:val="Unresolved Mention"/>
    <w:basedOn w:val="DefaultParagraphFont"/>
    <w:uiPriority w:val="99"/>
    <w:semiHidden/>
    <w:unhideWhenUsed/>
    <w:rsid w:val="00A51F09"/>
    <w:rPr>
      <w:color w:val="605E5C"/>
      <w:shd w:val="clear" w:color="auto" w:fill="E1DFDD"/>
    </w:rPr>
  </w:style>
  <w:style w:type="paragraph" w:styleId="Caption">
    <w:name w:val="caption"/>
    <w:basedOn w:val="Normal"/>
    <w:next w:val="Normal"/>
    <w:unhideWhenUsed/>
    <w:qFormat/>
    <w:rsid w:val="00A51F09"/>
    <w:pPr>
      <w:spacing w:line="240" w:lineRule="auto"/>
      <w:jc w:val="left"/>
    </w:pPr>
    <w:rPr>
      <w:rFonts w:ascii="Arial" w:eastAsia="SimHei" w:hAnsi="Arial" w:cs="Arial"/>
      <w:noProof w:val="0"/>
      <w:kern w:val="0"/>
      <w:sz w:val="20"/>
      <w:szCs w:val="24"/>
      <w:lang w:eastAsia="zh-CN"/>
      <w14:ligatures w14:val="none"/>
    </w:rPr>
  </w:style>
  <w:style w:type="character" w:styleId="CommentReference">
    <w:name w:val="annotation reference"/>
    <w:basedOn w:val="DefaultParagraphFont"/>
    <w:uiPriority w:val="99"/>
    <w:semiHidden/>
    <w:unhideWhenUsed/>
    <w:rsid w:val="00A51F09"/>
    <w:rPr>
      <w:sz w:val="16"/>
      <w:szCs w:val="16"/>
    </w:rPr>
  </w:style>
  <w:style w:type="paragraph" w:styleId="CommentText">
    <w:name w:val="annotation text"/>
    <w:basedOn w:val="Normal"/>
    <w:link w:val="CommentTextChar"/>
    <w:uiPriority w:val="99"/>
    <w:semiHidden/>
    <w:unhideWhenUsed/>
    <w:rsid w:val="00A51F09"/>
    <w:pPr>
      <w:spacing w:after="160" w:line="240" w:lineRule="auto"/>
      <w:jc w:val="left"/>
    </w:pPr>
    <w:rPr>
      <w:rFonts w:asciiTheme="minorHAnsi" w:eastAsia="SimSun" w:hAnsiTheme="minorHAnsi"/>
      <w:noProof w:val="0"/>
      <w:kern w:val="0"/>
      <w:sz w:val="20"/>
      <w:szCs w:val="20"/>
      <w:lang w:val="id-ID"/>
      <w14:ligatures w14:val="none"/>
    </w:rPr>
  </w:style>
  <w:style w:type="character" w:customStyle="1" w:styleId="CommentTextChar">
    <w:name w:val="Comment Text Char"/>
    <w:basedOn w:val="DefaultParagraphFont"/>
    <w:link w:val="CommentText"/>
    <w:uiPriority w:val="99"/>
    <w:semiHidden/>
    <w:rsid w:val="00A51F09"/>
    <w:rPr>
      <w:rFonts w:eastAsia="SimSun"/>
      <w:kern w:val="0"/>
      <w:sz w:val="20"/>
      <w:szCs w:val="20"/>
      <w:lang w:val="id-ID"/>
      <w14:ligatures w14:val="none"/>
    </w:rPr>
  </w:style>
  <w:style w:type="paragraph" w:styleId="CommentSubject">
    <w:name w:val="annotation subject"/>
    <w:basedOn w:val="CommentText"/>
    <w:next w:val="CommentText"/>
    <w:link w:val="CommentSubjectChar"/>
    <w:uiPriority w:val="99"/>
    <w:semiHidden/>
    <w:unhideWhenUsed/>
    <w:rsid w:val="00A51F09"/>
    <w:rPr>
      <w:b/>
      <w:bCs/>
    </w:rPr>
  </w:style>
  <w:style w:type="character" w:customStyle="1" w:styleId="CommentSubjectChar">
    <w:name w:val="Comment Subject Char"/>
    <w:basedOn w:val="CommentTextChar"/>
    <w:link w:val="CommentSubject"/>
    <w:uiPriority w:val="99"/>
    <w:semiHidden/>
    <w:rsid w:val="00A51F09"/>
    <w:rPr>
      <w:rFonts w:eastAsia="SimSun"/>
      <w:b/>
      <w:bCs/>
      <w:kern w:val="0"/>
      <w:sz w:val="20"/>
      <w:szCs w:val="20"/>
      <w:lang w:val="id-ID"/>
      <w14:ligatures w14:val="none"/>
    </w:rPr>
  </w:style>
  <w:style w:type="paragraph" w:styleId="ListParagraph">
    <w:name w:val="List Paragraph"/>
    <w:basedOn w:val="Normal"/>
    <w:uiPriority w:val="34"/>
    <w:qFormat/>
    <w:rsid w:val="00A51F09"/>
    <w:pPr>
      <w:spacing w:after="160" w:line="259" w:lineRule="auto"/>
      <w:ind w:left="720"/>
      <w:contextualSpacing/>
      <w:jc w:val="left"/>
    </w:pPr>
    <w:rPr>
      <w:rFonts w:asciiTheme="minorHAnsi" w:eastAsia="SimSun" w:hAnsiTheme="minorHAnsi"/>
      <w:noProof w:val="0"/>
      <w:kern w:val="0"/>
      <w:sz w:val="22"/>
      <w:lang w:val="id-ID"/>
      <w14:ligatures w14:val="none"/>
    </w:rPr>
  </w:style>
  <w:style w:type="table" w:styleId="PlainTable2">
    <w:name w:val="Plain Table 2"/>
    <w:basedOn w:val="TableNormal"/>
    <w:uiPriority w:val="42"/>
    <w:rsid w:val="00BC75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CC1794"/>
    <w:pPr>
      <w:tabs>
        <w:tab w:val="center" w:pos="4513"/>
        <w:tab w:val="right" w:pos="9026"/>
      </w:tabs>
      <w:spacing w:line="240" w:lineRule="auto"/>
    </w:pPr>
  </w:style>
  <w:style w:type="character" w:customStyle="1" w:styleId="HeaderChar">
    <w:name w:val="Header Char"/>
    <w:basedOn w:val="DefaultParagraphFont"/>
    <w:link w:val="Header"/>
    <w:uiPriority w:val="99"/>
    <w:rsid w:val="00CC1794"/>
    <w:rPr>
      <w:rFonts w:ascii="Times New Roman" w:hAnsi="Times New Roman"/>
      <w:noProof/>
      <w:sz w:val="24"/>
    </w:rPr>
  </w:style>
  <w:style w:type="paragraph" w:styleId="Footer">
    <w:name w:val="footer"/>
    <w:basedOn w:val="Normal"/>
    <w:link w:val="FooterChar"/>
    <w:uiPriority w:val="99"/>
    <w:unhideWhenUsed/>
    <w:rsid w:val="00CC1794"/>
    <w:pPr>
      <w:tabs>
        <w:tab w:val="center" w:pos="4513"/>
        <w:tab w:val="right" w:pos="9026"/>
      </w:tabs>
      <w:spacing w:line="240" w:lineRule="auto"/>
    </w:pPr>
  </w:style>
  <w:style w:type="character" w:customStyle="1" w:styleId="FooterChar">
    <w:name w:val="Footer Char"/>
    <w:basedOn w:val="DefaultParagraphFont"/>
    <w:link w:val="Footer"/>
    <w:uiPriority w:val="99"/>
    <w:rsid w:val="00CC1794"/>
    <w:rPr>
      <w:rFonts w:ascii="Times New Roman" w:hAnsi="Times New Roman"/>
      <w:noProof/>
      <w:sz w:val="24"/>
    </w:rPr>
  </w:style>
  <w:style w:type="paragraph" w:styleId="NormalWeb">
    <w:name w:val="Normal (Web)"/>
    <w:basedOn w:val="Normal"/>
    <w:uiPriority w:val="99"/>
    <w:unhideWhenUsed/>
    <w:rsid w:val="00561DC1"/>
    <w:pPr>
      <w:spacing w:before="100" w:beforeAutospacing="1" w:after="100" w:afterAutospacing="1" w:line="240" w:lineRule="auto"/>
      <w:jc w:val="left"/>
    </w:pPr>
    <w:rPr>
      <w:rFonts w:eastAsia="Times New Roman" w:cs="Times New Roman"/>
      <w:noProof w:val="0"/>
      <w:kern w:val="0"/>
      <w:szCs w:val="24"/>
      <w:lang w:val="en-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2163">
      <w:bodyDiv w:val="1"/>
      <w:marLeft w:val="0"/>
      <w:marRight w:val="0"/>
      <w:marTop w:val="0"/>
      <w:marBottom w:val="0"/>
      <w:divBdr>
        <w:top w:val="none" w:sz="0" w:space="0" w:color="auto"/>
        <w:left w:val="none" w:sz="0" w:space="0" w:color="auto"/>
        <w:bottom w:val="none" w:sz="0" w:space="0" w:color="auto"/>
        <w:right w:val="none" w:sz="0" w:space="0" w:color="auto"/>
      </w:divBdr>
    </w:div>
    <w:div w:id="70590851">
      <w:bodyDiv w:val="1"/>
      <w:marLeft w:val="0"/>
      <w:marRight w:val="0"/>
      <w:marTop w:val="0"/>
      <w:marBottom w:val="0"/>
      <w:divBdr>
        <w:top w:val="none" w:sz="0" w:space="0" w:color="auto"/>
        <w:left w:val="none" w:sz="0" w:space="0" w:color="auto"/>
        <w:bottom w:val="none" w:sz="0" w:space="0" w:color="auto"/>
        <w:right w:val="none" w:sz="0" w:space="0" w:color="auto"/>
      </w:divBdr>
    </w:div>
    <w:div w:id="126827134">
      <w:bodyDiv w:val="1"/>
      <w:marLeft w:val="0"/>
      <w:marRight w:val="0"/>
      <w:marTop w:val="0"/>
      <w:marBottom w:val="0"/>
      <w:divBdr>
        <w:top w:val="none" w:sz="0" w:space="0" w:color="auto"/>
        <w:left w:val="none" w:sz="0" w:space="0" w:color="auto"/>
        <w:bottom w:val="none" w:sz="0" w:space="0" w:color="auto"/>
        <w:right w:val="none" w:sz="0" w:space="0" w:color="auto"/>
      </w:divBdr>
    </w:div>
    <w:div w:id="153687450">
      <w:bodyDiv w:val="1"/>
      <w:marLeft w:val="0"/>
      <w:marRight w:val="0"/>
      <w:marTop w:val="0"/>
      <w:marBottom w:val="0"/>
      <w:divBdr>
        <w:top w:val="none" w:sz="0" w:space="0" w:color="auto"/>
        <w:left w:val="none" w:sz="0" w:space="0" w:color="auto"/>
        <w:bottom w:val="none" w:sz="0" w:space="0" w:color="auto"/>
        <w:right w:val="none" w:sz="0" w:space="0" w:color="auto"/>
      </w:divBdr>
    </w:div>
    <w:div w:id="217985215">
      <w:bodyDiv w:val="1"/>
      <w:marLeft w:val="0"/>
      <w:marRight w:val="0"/>
      <w:marTop w:val="0"/>
      <w:marBottom w:val="0"/>
      <w:divBdr>
        <w:top w:val="none" w:sz="0" w:space="0" w:color="auto"/>
        <w:left w:val="none" w:sz="0" w:space="0" w:color="auto"/>
        <w:bottom w:val="none" w:sz="0" w:space="0" w:color="auto"/>
        <w:right w:val="none" w:sz="0" w:space="0" w:color="auto"/>
      </w:divBdr>
    </w:div>
    <w:div w:id="298190012">
      <w:bodyDiv w:val="1"/>
      <w:marLeft w:val="0"/>
      <w:marRight w:val="0"/>
      <w:marTop w:val="0"/>
      <w:marBottom w:val="0"/>
      <w:divBdr>
        <w:top w:val="none" w:sz="0" w:space="0" w:color="auto"/>
        <w:left w:val="none" w:sz="0" w:space="0" w:color="auto"/>
        <w:bottom w:val="none" w:sz="0" w:space="0" w:color="auto"/>
        <w:right w:val="none" w:sz="0" w:space="0" w:color="auto"/>
      </w:divBdr>
    </w:div>
    <w:div w:id="300421599">
      <w:bodyDiv w:val="1"/>
      <w:marLeft w:val="0"/>
      <w:marRight w:val="0"/>
      <w:marTop w:val="0"/>
      <w:marBottom w:val="0"/>
      <w:divBdr>
        <w:top w:val="none" w:sz="0" w:space="0" w:color="auto"/>
        <w:left w:val="none" w:sz="0" w:space="0" w:color="auto"/>
        <w:bottom w:val="none" w:sz="0" w:space="0" w:color="auto"/>
        <w:right w:val="none" w:sz="0" w:space="0" w:color="auto"/>
      </w:divBdr>
    </w:div>
    <w:div w:id="308631140">
      <w:bodyDiv w:val="1"/>
      <w:marLeft w:val="0"/>
      <w:marRight w:val="0"/>
      <w:marTop w:val="0"/>
      <w:marBottom w:val="0"/>
      <w:divBdr>
        <w:top w:val="none" w:sz="0" w:space="0" w:color="auto"/>
        <w:left w:val="none" w:sz="0" w:space="0" w:color="auto"/>
        <w:bottom w:val="none" w:sz="0" w:space="0" w:color="auto"/>
        <w:right w:val="none" w:sz="0" w:space="0" w:color="auto"/>
      </w:divBdr>
    </w:div>
    <w:div w:id="373892111">
      <w:bodyDiv w:val="1"/>
      <w:marLeft w:val="0"/>
      <w:marRight w:val="0"/>
      <w:marTop w:val="0"/>
      <w:marBottom w:val="0"/>
      <w:divBdr>
        <w:top w:val="none" w:sz="0" w:space="0" w:color="auto"/>
        <w:left w:val="none" w:sz="0" w:space="0" w:color="auto"/>
        <w:bottom w:val="none" w:sz="0" w:space="0" w:color="auto"/>
        <w:right w:val="none" w:sz="0" w:space="0" w:color="auto"/>
      </w:divBdr>
    </w:div>
    <w:div w:id="380712677">
      <w:bodyDiv w:val="1"/>
      <w:marLeft w:val="0"/>
      <w:marRight w:val="0"/>
      <w:marTop w:val="0"/>
      <w:marBottom w:val="0"/>
      <w:divBdr>
        <w:top w:val="none" w:sz="0" w:space="0" w:color="auto"/>
        <w:left w:val="none" w:sz="0" w:space="0" w:color="auto"/>
        <w:bottom w:val="none" w:sz="0" w:space="0" w:color="auto"/>
        <w:right w:val="none" w:sz="0" w:space="0" w:color="auto"/>
      </w:divBdr>
    </w:div>
    <w:div w:id="408158936">
      <w:bodyDiv w:val="1"/>
      <w:marLeft w:val="0"/>
      <w:marRight w:val="0"/>
      <w:marTop w:val="0"/>
      <w:marBottom w:val="0"/>
      <w:divBdr>
        <w:top w:val="none" w:sz="0" w:space="0" w:color="auto"/>
        <w:left w:val="none" w:sz="0" w:space="0" w:color="auto"/>
        <w:bottom w:val="none" w:sz="0" w:space="0" w:color="auto"/>
        <w:right w:val="none" w:sz="0" w:space="0" w:color="auto"/>
      </w:divBdr>
    </w:div>
    <w:div w:id="442193428">
      <w:bodyDiv w:val="1"/>
      <w:marLeft w:val="0"/>
      <w:marRight w:val="0"/>
      <w:marTop w:val="0"/>
      <w:marBottom w:val="0"/>
      <w:divBdr>
        <w:top w:val="none" w:sz="0" w:space="0" w:color="auto"/>
        <w:left w:val="none" w:sz="0" w:space="0" w:color="auto"/>
        <w:bottom w:val="none" w:sz="0" w:space="0" w:color="auto"/>
        <w:right w:val="none" w:sz="0" w:space="0" w:color="auto"/>
      </w:divBdr>
    </w:div>
    <w:div w:id="498542966">
      <w:bodyDiv w:val="1"/>
      <w:marLeft w:val="0"/>
      <w:marRight w:val="0"/>
      <w:marTop w:val="0"/>
      <w:marBottom w:val="0"/>
      <w:divBdr>
        <w:top w:val="none" w:sz="0" w:space="0" w:color="auto"/>
        <w:left w:val="none" w:sz="0" w:space="0" w:color="auto"/>
        <w:bottom w:val="none" w:sz="0" w:space="0" w:color="auto"/>
        <w:right w:val="none" w:sz="0" w:space="0" w:color="auto"/>
      </w:divBdr>
    </w:div>
    <w:div w:id="504397636">
      <w:bodyDiv w:val="1"/>
      <w:marLeft w:val="0"/>
      <w:marRight w:val="0"/>
      <w:marTop w:val="0"/>
      <w:marBottom w:val="0"/>
      <w:divBdr>
        <w:top w:val="none" w:sz="0" w:space="0" w:color="auto"/>
        <w:left w:val="none" w:sz="0" w:space="0" w:color="auto"/>
        <w:bottom w:val="none" w:sz="0" w:space="0" w:color="auto"/>
        <w:right w:val="none" w:sz="0" w:space="0" w:color="auto"/>
      </w:divBdr>
    </w:div>
    <w:div w:id="541018568">
      <w:bodyDiv w:val="1"/>
      <w:marLeft w:val="0"/>
      <w:marRight w:val="0"/>
      <w:marTop w:val="0"/>
      <w:marBottom w:val="0"/>
      <w:divBdr>
        <w:top w:val="none" w:sz="0" w:space="0" w:color="auto"/>
        <w:left w:val="none" w:sz="0" w:space="0" w:color="auto"/>
        <w:bottom w:val="none" w:sz="0" w:space="0" w:color="auto"/>
        <w:right w:val="none" w:sz="0" w:space="0" w:color="auto"/>
      </w:divBdr>
    </w:div>
    <w:div w:id="570232718">
      <w:bodyDiv w:val="1"/>
      <w:marLeft w:val="0"/>
      <w:marRight w:val="0"/>
      <w:marTop w:val="0"/>
      <w:marBottom w:val="0"/>
      <w:divBdr>
        <w:top w:val="none" w:sz="0" w:space="0" w:color="auto"/>
        <w:left w:val="none" w:sz="0" w:space="0" w:color="auto"/>
        <w:bottom w:val="none" w:sz="0" w:space="0" w:color="auto"/>
        <w:right w:val="none" w:sz="0" w:space="0" w:color="auto"/>
      </w:divBdr>
    </w:div>
    <w:div w:id="600649634">
      <w:bodyDiv w:val="1"/>
      <w:marLeft w:val="0"/>
      <w:marRight w:val="0"/>
      <w:marTop w:val="0"/>
      <w:marBottom w:val="0"/>
      <w:divBdr>
        <w:top w:val="none" w:sz="0" w:space="0" w:color="auto"/>
        <w:left w:val="none" w:sz="0" w:space="0" w:color="auto"/>
        <w:bottom w:val="none" w:sz="0" w:space="0" w:color="auto"/>
        <w:right w:val="none" w:sz="0" w:space="0" w:color="auto"/>
      </w:divBdr>
    </w:div>
    <w:div w:id="617763003">
      <w:bodyDiv w:val="1"/>
      <w:marLeft w:val="0"/>
      <w:marRight w:val="0"/>
      <w:marTop w:val="0"/>
      <w:marBottom w:val="0"/>
      <w:divBdr>
        <w:top w:val="none" w:sz="0" w:space="0" w:color="auto"/>
        <w:left w:val="none" w:sz="0" w:space="0" w:color="auto"/>
        <w:bottom w:val="none" w:sz="0" w:space="0" w:color="auto"/>
        <w:right w:val="none" w:sz="0" w:space="0" w:color="auto"/>
      </w:divBdr>
    </w:div>
    <w:div w:id="689064434">
      <w:bodyDiv w:val="1"/>
      <w:marLeft w:val="0"/>
      <w:marRight w:val="0"/>
      <w:marTop w:val="0"/>
      <w:marBottom w:val="0"/>
      <w:divBdr>
        <w:top w:val="none" w:sz="0" w:space="0" w:color="auto"/>
        <w:left w:val="none" w:sz="0" w:space="0" w:color="auto"/>
        <w:bottom w:val="none" w:sz="0" w:space="0" w:color="auto"/>
        <w:right w:val="none" w:sz="0" w:space="0" w:color="auto"/>
      </w:divBdr>
    </w:div>
    <w:div w:id="808324536">
      <w:bodyDiv w:val="1"/>
      <w:marLeft w:val="0"/>
      <w:marRight w:val="0"/>
      <w:marTop w:val="0"/>
      <w:marBottom w:val="0"/>
      <w:divBdr>
        <w:top w:val="none" w:sz="0" w:space="0" w:color="auto"/>
        <w:left w:val="none" w:sz="0" w:space="0" w:color="auto"/>
        <w:bottom w:val="none" w:sz="0" w:space="0" w:color="auto"/>
        <w:right w:val="none" w:sz="0" w:space="0" w:color="auto"/>
      </w:divBdr>
    </w:div>
    <w:div w:id="1006708626">
      <w:bodyDiv w:val="1"/>
      <w:marLeft w:val="0"/>
      <w:marRight w:val="0"/>
      <w:marTop w:val="0"/>
      <w:marBottom w:val="0"/>
      <w:divBdr>
        <w:top w:val="none" w:sz="0" w:space="0" w:color="auto"/>
        <w:left w:val="none" w:sz="0" w:space="0" w:color="auto"/>
        <w:bottom w:val="none" w:sz="0" w:space="0" w:color="auto"/>
        <w:right w:val="none" w:sz="0" w:space="0" w:color="auto"/>
      </w:divBdr>
    </w:div>
    <w:div w:id="1046564545">
      <w:bodyDiv w:val="1"/>
      <w:marLeft w:val="0"/>
      <w:marRight w:val="0"/>
      <w:marTop w:val="0"/>
      <w:marBottom w:val="0"/>
      <w:divBdr>
        <w:top w:val="none" w:sz="0" w:space="0" w:color="auto"/>
        <w:left w:val="none" w:sz="0" w:space="0" w:color="auto"/>
        <w:bottom w:val="none" w:sz="0" w:space="0" w:color="auto"/>
        <w:right w:val="none" w:sz="0" w:space="0" w:color="auto"/>
      </w:divBdr>
    </w:div>
    <w:div w:id="1067073178">
      <w:bodyDiv w:val="1"/>
      <w:marLeft w:val="0"/>
      <w:marRight w:val="0"/>
      <w:marTop w:val="0"/>
      <w:marBottom w:val="0"/>
      <w:divBdr>
        <w:top w:val="none" w:sz="0" w:space="0" w:color="auto"/>
        <w:left w:val="none" w:sz="0" w:space="0" w:color="auto"/>
        <w:bottom w:val="none" w:sz="0" w:space="0" w:color="auto"/>
        <w:right w:val="none" w:sz="0" w:space="0" w:color="auto"/>
      </w:divBdr>
    </w:div>
    <w:div w:id="1103957566">
      <w:bodyDiv w:val="1"/>
      <w:marLeft w:val="0"/>
      <w:marRight w:val="0"/>
      <w:marTop w:val="0"/>
      <w:marBottom w:val="0"/>
      <w:divBdr>
        <w:top w:val="none" w:sz="0" w:space="0" w:color="auto"/>
        <w:left w:val="none" w:sz="0" w:space="0" w:color="auto"/>
        <w:bottom w:val="none" w:sz="0" w:space="0" w:color="auto"/>
        <w:right w:val="none" w:sz="0" w:space="0" w:color="auto"/>
      </w:divBdr>
    </w:div>
    <w:div w:id="1183858509">
      <w:bodyDiv w:val="1"/>
      <w:marLeft w:val="0"/>
      <w:marRight w:val="0"/>
      <w:marTop w:val="0"/>
      <w:marBottom w:val="0"/>
      <w:divBdr>
        <w:top w:val="none" w:sz="0" w:space="0" w:color="auto"/>
        <w:left w:val="none" w:sz="0" w:space="0" w:color="auto"/>
        <w:bottom w:val="none" w:sz="0" w:space="0" w:color="auto"/>
        <w:right w:val="none" w:sz="0" w:space="0" w:color="auto"/>
      </w:divBdr>
    </w:div>
    <w:div w:id="1234386488">
      <w:bodyDiv w:val="1"/>
      <w:marLeft w:val="0"/>
      <w:marRight w:val="0"/>
      <w:marTop w:val="0"/>
      <w:marBottom w:val="0"/>
      <w:divBdr>
        <w:top w:val="none" w:sz="0" w:space="0" w:color="auto"/>
        <w:left w:val="none" w:sz="0" w:space="0" w:color="auto"/>
        <w:bottom w:val="none" w:sz="0" w:space="0" w:color="auto"/>
        <w:right w:val="none" w:sz="0" w:space="0" w:color="auto"/>
      </w:divBdr>
    </w:div>
    <w:div w:id="1237744017">
      <w:bodyDiv w:val="1"/>
      <w:marLeft w:val="0"/>
      <w:marRight w:val="0"/>
      <w:marTop w:val="0"/>
      <w:marBottom w:val="0"/>
      <w:divBdr>
        <w:top w:val="none" w:sz="0" w:space="0" w:color="auto"/>
        <w:left w:val="none" w:sz="0" w:space="0" w:color="auto"/>
        <w:bottom w:val="none" w:sz="0" w:space="0" w:color="auto"/>
        <w:right w:val="none" w:sz="0" w:space="0" w:color="auto"/>
      </w:divBdr>
    </w:div>
    <w:div w:id="1238244119">
      <w:bodyDiv w:val="1"/>
      <w:marLeft w:val="0"/>
      <w:marRight w:val="0"/>
      <w:marTop w:val="0"/>
      <w:marBottom w:val="0"/>
      <w:divBdr>
        <w:top w:val="none" w:sz="0" w:space="0" w:color="auto"/>
        <w:left w:val="none" w:sz="0" w:space="0" w:color="auto"/>
        <w:bottom w:val="none" w:sz="0" w:space="0" w:color="auto"/>
        <w:right w:val="none" w:sz="0" w:space="0" w:color="auto"/>
      </w:divBdr>
    </w:div>
    <w:div w:id="1268580952">
      <w:bodyDiv w:val="1"/>
      <w:marLeft w:val="0"/>
      <w:marRight w:val="0"/>
      <w:marTop w:val="0"/>
      <w:marBottom w:val="0"/>
      <w:divBdr>
        <w:top w:val="none" w:sz="0" w:space="0" w:color="auto"/>
        <w:left w:val="none" w:sz="0" w:space="0" w:color="auto"/>
        <w:bottom w:val="none" w:sz="0" w:space="0" w:color="auto"/>
        <w:right w:val="none" w:sz="0" w:space="0" w:color="auto"/>
      </w:divBdr>
    </w:div>
    <w:div w:id="1274283075">
      <w:bodyDiv w:val="1"/>
      <w:marLeft w:val="0"/>
      <w:marRight w:val="0"/>
      <w:marTop w:val="0"/>
      <w:marBottom w:val="0"/>
      <w:divBdr>
        <w:top w:val="none" w:sz="0" w:space="0" w:color="auto"/>
        <w:left w:val="none" w:sz="0" w:space="0" w:color="auto"/>
        <w:bottom w:val="none" w:sz="0" w:space="0" w:color="auto"/>
        <w:right w:val="none" w:sz="0" w:space="0" w:color="auto"/>
      </w:divBdr>
    </w:div>
    <w:div w:id="1324747409">
      <w:bodyDiv w:val="1"/>
      <w:marLeft w:val="0"/>
      <w:marRight w:val="0"/>
      <w:marTop w:val="0"/>
      <w:marBottom w:val="0"/>
      <w:divBdr>
        <w:top w:val="none" w:sz="0" w:space="0" w:color="auto"/>
        <w:left w:val="none" w:sz="0" w:space="0" w:color="auto"/>
        <w:bottom w:val="none" w:sz="0" w:space="0" w:color="auto"/>
        <w:right w:val="none" w:sz="0" w:space="0" w:color="auto"/>
      </w:divBdr>
    </w:div>
    <w:div w:id="1351299000">
      <w:bodyDiv w:val="1"/>
      <w:marLeft w:val="0"/>
      <w:marRight w:val="0"/>
      <w:marTop w:val="0"/>
      <w:marBottom w:val="0"/>
      <w:divBdr>
        <w:top w:val="none" w:sz="0" w:space="0" w:color="auto"/>
        <w:left w:val="none" w:sz="0" w:space="0" w:color="auto"/>
        <w:bottom w:val="none" w:sz="0" w:space="0" w:color="auto"/>
        <w:right w:val="none" w:sz="0" w:space="0" w:color="auto"/>
      </w:divBdr>
    </w:div>
    <w:div w:id="1356232947">
      <w:bodyDiv w:val="1"/>
      <w:marLeft w:val="0"/>
      <w:marRight w:val="0"/>
      <w:marTop w:val="0"/>
      <w:marBottom w:val="0"/>
      <w:divBdr>
        <w:top w:val="none" w:sz="0" w:space="0" w:color="auto"/>
        <w:left w:val="none" w:sz="0" w:space="0" w:color="auto"/>
        <w:bottom w:val="none" w:sz="0" w:space="0" w:color="auto"/>
        <w:right w:val="none" w:sz="0" w:space="0" w:color="auto"/>
      </w:divBdr>
    </w:div>
    <w:div w:id="1397127871">
      <w:bodyDiv w:val="1"/>
      <w:marLeft w:val="0"/>
      <w:marRight w:val="0"/>
      <w:marTop w:val="0"/>
      <w:marBottom w:val="0"/>
      <w:divBdr>
        <w:top w:val="none" w:sz="0" w:space="0" w:color="auto"/>
        <w:left w:val="none" w:sz="0" w:space="0" w:color="auto"/>
        <w:bottom w:val="none" w:sz="0" w:space="0" w:color="auto"/>
        <w:right w:val="none" w:sz="0" w:space="0" w:color="auto"/>
      </w:divBdr>
    </w:div>
    <w:div w:id="1397163225">
      <w:bodyDiv w:val="1"/>
      <w:marLeft w:val="0"/>
      <w:marRight w:val="0"/>
      <w:marTop w:val="0"/>
      <w:marBottom w:val="0"/>
      <w:divBdr>
        <w:top w:val="none" w:sz="0" w:space="0" w:color="auto"/>
        <w:left w:val="none" w:sz="0" w:space="0" w:color="auto"/>
        <w:bottom w:val="none" w:sz="0" w:space="0" w:color="auto"/>
        <w:right w:val="none" w:sz="0" w:space="0" w:color="auto"/>
      </w:divBdr>
    </w:div>
    <w:div w:id="1425027159">
      <w:bodyDiv w:val="1"/>
      <w:marLeft w:val="0"/>
      <w:marRight w:val="0"/>
      <w:marTop w:val="0"/>
      <w:marBottom w:val="0"/>
      <w:divBdr>
        <w:top w:val="none" w:sz="0" w:space="0" w:color="auto"/>
        <w:left w:val="none" w:sz="0" w:space="0" w:color="auto"/>
        <w:bottom w:val="none" w:sz="0" w:space="0" w:color="auto"/>
        <w:right w:val="none" w:sz="0" w:space="0" w:color="auto"/>
      </w:divBdr>
    </w:div>
    <w:div w:id="1425301937">
      <w:bodyDiv w:val="1"/>
      <w:marLeft w:val="0"/>
      <w:marRight w:val="0"/>
      <w:marTop w:val="0"/>
      <w:marBottom w:val="0"/>
      <w:divBdr>
        <w:top w:val="none" w:sz="0" w:space="0" w:color="auto"/>
        <w:left w:val="none" w:sz="0" w:space="0" w:color="auto"/>
        <w:bottom w:val="none" w:sz="0" w:space="0" w:color="auto"/>
        <w:right w:val="none" w:sz="0" w:space="0" w:color="auto"/>
      </w:divBdr>
    </w:div>
    <w:div w:id="1430004896">
      <w:bodyDiv w:val="1"/>
      <w:marLeft w:val="0"/>
      <w:marRight w:val="0"/>
      <w:marTop w:val="0"/>
      <w:marBottom w:val="0"/>
      <w:divBdr>
        <w:top w:val="none" w:sz="0" w:space="0" w:color="auto"/>
        <w:left w:val="none" w:sz="0" w:space="0" w:color="auto"/>
        <w:bottom w:val="none" w:sz="0" w:space="0" w:color="auto"/>
        <w:right w:val="none" w:sz="0" w:space="0" w:color="auto"/>
      </w:divBdr>
    </w:div>
    <w:div w:id="1483237428">
      <w:bodyDiv w:val="1"/>
      <w:marLeft w:val="0"/>
      <w:marRight w:val="0"/>
      <w:marTop w:val="0"/>
      <w:marBottom w:val="0"/>
      <w:divBdr>
        <w:top w:val="none" w:sz="0" w:space="0" w:color="auto"/>
        <w:left w:val="none" w:sz="0" w:space="0" w:color="auto"/>
        <w:bottom w:val="none" w:sz="0" w:space="0" w:color="auto"/>
        <w:right w:val="none" w:sz="0" w:space="0" w:color="auto"/>
      </w:divBdr>
    </w:div>
    <w:div w:id="1584029016">
      <w:bodyDiv w:val="1"/>
      <w:marLeft w:val="0"/>
      <w:marRight w:val="0"/>
      <w:marTop w:val="0"/>
      <w:marBottom w:val="0"/>
      <w:divBdr>
        <w:top w:val="none" w:sz="0" w:space="0" w:color="auto"/>
        <w:left w:val="none" w:sz="0" w:space="0" w:color="auto"/>
        <w:bottom w:val="none" w:sz="0" w:space="0" w:color="auto"/>
        <w:right w:val="none" w:sz="0" w:space="0" w:color="auto"/>
      </w:divBdr>
    </w:div>
    <w:div w:id="1592740149">
      <w:bodyDiv w:val="1"/>
      <w:marLeft w:val="0"/>
      <w:marRight w:val="0"/>
      <w:marTop w:val="0"/>
      <w:marBottom w:val="0"/>
      <w:divBdr>
        <w:top w:val="none" w:sz="0" w:space="0" w:color="auto"/>
        <w:left w:val="none" w:sz="0" w:space="0" w:color="auto"/>
        <w:bottom w:val="none" w:sz="0" w:space="0" w:color="auto"/>
        <w:right w:val="none" w:sz="0" w:space="0" w:color="auto"/>
      </w:divBdr>
    </w:div>
    <w:div w:id="1612399088">
      <w:bodyDiv w:val="1"/>
      <w:marLeft w:val="0"/>
      <w:marRight w:val="0"/>
      <w:marTop w:val="0"/>
      <w:marBottom w:val="0"/>
      <w:divBdr>
        <w:top w:val="none" w:sz="0" w:space="0" w:color="auto"/>
        <w:left w:val="none" w:sz="0" w:space="0" w:color="auto"/>
        <w:bottom w:val="none" w:sz="0" w:space="0" w:color="auto"/>
        <w:right w:val="none" w:sz="0" w:space="0" w:color="auto"/>
      </w:divBdr>
    </w:div>
    <w:div w:id="1617062708">
      <w:bodyDiv w:val="1"/>
      <w:marLeft w:val="0"/>
      <w:marRight w:val="0"/>
      <w:marTop w:val="0"/>
      <w:marBottom w:val="0"/>
      <w:divBdr>
        <w:top w:val="none" w:sz="0" w:space="0" w:color="auto"/>
        <w:left w:val="none" w:sz="0" w:space="0" w:color="auto"/>
        <w:bottom w:val="none" w:sz="0" w:space="0" w:color="auto"/>
        <w:right w:val="none" w:sz="0" w:space="0" w:color="auto"/>
      </w:divBdr>
    </w:div>
    <w:div w:id="1629968464">
      <w:bodyDiv w:val="1"/>
      <w:marLeft w:val="0"/>
      <w:marRight w:val="0"/>
      <w:marTop w:val="0"/>
      <w:marBottom w:val="0"/>
      <w:divBdr>
        <w:top w:val="none" w:sz="0" w:space="0" w:color="auto"/>
        <w:left w:val="none" w:sz="0" w:space="0" w:color="auto"/>
        <w:bottom w:val="none" w:sz="0" w:space="0" w:color="auto"/>
        <w:right w:val="none" w:sz="0" w:space="0" w:color="auto"/>
      </w:divBdr>
    </w:div>
    <w:div w:id="1643391081">
      <w:bodyDiv w:val="1"/>
      <w:marLeft w:val="0"/>
      <w:marRight w:val="0"/>
      <w:marTop w:val="0"/>
      <w:marBottom w:val="0"/>
      <w:divBdr>
        <w:top w:val="none" w:sz="0" w:space="0" w:color="auto"/>
        <w:left w:val="none" w:sz="0" w:space="0" w:color="auto"/>
        <w:bottom w:val="none" w:sz="0" w:space="0" w:color="auto"/>
        <w:right w:val="none" w:sz="0" w:space="0" w:color="auto"/>
      </w:divBdr>
    </w:div>
    <w:div w:id="1654405929">
      <w:bodyDiv w:val="1"/>
      <w:marLeft w:val="0"/>
      <w:marRight w:val="0"/>
      <w:marTop w:val="0"/>
      <w:marBottom w:val="0"/>
      <w:divBdr>
        <w:top w:val="none" w:sz="0" w:space="0" w:color="auto"/>
        <w:left w:val="none" w:sz="0" w:space="0" w:color="auto"/>
        <w:bottom w:val="none" w:sz="0" w:space="0" w:color="auto"/>
        <w:right w:val="none" w:sz="0" w:space="0" w:color="auto"/>
      </w:divBdr>
    </w:div>
    <w:div w:id="1664549115">
      <w:bodyDiv w:val="1"/>
      <w:marLeft w:val="0"/>
      <w:marRight w:val="0"/>
      <w:marTop w:val="0"/>
      <w:marBottom w:val="0"/>
      <w:divBdr>
        <w:top w:val="none" w:sz="0" w:space="0" w:color="auto"/>
        <w:left w:val="none" w:sz="0" w:space="0" w:color="auto"/>
        <w:bottom w:val="none" w:sz="0" w:space="0" w:color="auto"/>
        <w:right w:val="none" w:sz="0" w:space="0" w:color="auto"/>
      </w:divBdr>
    </w:div>
    <w:div w:id="1729181500">
      <w:bodyDiv w:val="1"/>
      <w:marLeft w:val="0"/>
      <w:marRight w:val="0"/>
      <w:marTop w:val="0"/>
      <w:marBottom w:val="0"/>
      <w:divBdr>
        <w:top w:val="none" w:sz="0" w:space="0" w:color="auto"/>
        <w:left w:val="none" w:sz="0" w:space="0" w:color="auto"/>
        <w:bottom w:val="none" w:sz="0" w:space="0" w:color="auto"/>
        <w:right w:val="none" w:sz="0" w:space="0" w:color="auto"/>
      </w:divBdr>
    </w:div>
    <w:div w:id="1757441281">
      <w:bodyDiv w:val="1"/>
      <w:marLeft w:val="0"/>
      <w:marRight w:val="0"/>
      <w:marTop w:val="0"/>
      <w:marBottom w:val="0"/>
      <w:divBdr>
        <w:top w:val="none" w:sz="0" w:space="0" w:color="auto"/>
        <w:left w:val="none" w:sz="0" w:space="0" w:color="auto"/>
        <w:bottom w:val="none" w:sz="0" w:space="0" w:color="auto"/>
        <w:right w:val="none" w:sz="0" w:space="0" w:color="auto"/>
      </w:divBdr>
    </w:div>
    <w:div w:id="1771780247">
      <w:bodyDiv w:val="1"/>
      <w:marLeft w:val="0"/>
      <w:marRight w:val="0"/>
      <w:marTop w:val="0"/>
      <w:marBottom w:val="0"/>
      <w:divBdr>
        <w:top w:val="none" w:sz="0" w:space="0" w:color="auto"/>
        <w:left w:val="none" w:sz="0" w:space="0" w:color="auto"/>
        <w:bottom w:val="none" w:sz="0" w:space="0" w:color="auto"/>
        <w:right w:val="none" w:sz="0" w:space="0" w:color="auto"/>
      </w:divBdr>
    </w:div>
    <w:div w:id="1788692040">
      <w:bodyDiv w:val="1"/>
      <w:marLeft w:val="0"/>
      <w:marRight w:val="0"/>
      <w:marTop w:val="0"/>
      <w:marBottom w:val="0"/>
      <w:divBdr>
        <w:top w:val="none" w:sz="0" w:space="0" w:color="auto"/>
        <w:left w:val="none" w:sz="0" w:space="0" w:color="auto"/>
        <w:bottom w:val="none" w:sz="0" w:space="0" w:color="auto"/>
        <w:right w:val="none" w:sz="0" w:space="0" w:color="auto"/>
      </w:divBdr>
    </w:div>
    <w:div w:id="1920746067">
      <w:bodyDiv w:val="1"/>
      <w:marLeft w:val="0"/>
      <w:marRight w:val="0"/>
      <w:marTop w:val="0"/>
      <w:marBottom w:val="0"/>
      <w:divBdr>
        <w:top w:val="none" w:sz="0" w:space="0" w:color="auto"/>
        <w:left w:val="none" w:sz="0" w:space="0" w:color="auto"/>
        <w:bottom w:val="none" w:sz="0" w:space="0" w:color="auto"/>
        <w:right w:val="none" w:sz="0" w:space="0" w:color="auto"/>
      </w:divBdr>
    </w:div>
    <w:div w:id="2055081060">
      <w:bodyDiv w:val="1"/>
      <w:marLeft w:val="0"/>
      <w:marRight w:val="0"/>
      <w:marTop w:val="0"/>
      <w:marBottom w:val="0"/>
      <w:divBdr>
        <w:top w:val="none" w:sz="0" w:space="0" w:color="auto"/>
        <w:left w:val="none" w:sz="0" w:space="0" w:color="auto"/>
        <w:bottom w:val="none" w:sz="0" w:space="0" w:color="auto"/>
        <w:right w:val="none" w:sz="0" w:space="0" w:color="auto"/>
      </w:divBdr>
    </w:div>
    <w:div w:id="210961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ri.peni@unpad.ac.i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F2290-D9A5-484E-8EBA-F23719CB7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20466</Words>
  <Characters>116661</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ulyaa rachma</dc:creator>
  <cp:keywords/>
  <dc:description/>
  <cp:lastModifiedBy>Erin Nur Lestari</cp:lastModifiedBy>
  <cp:revision>2</cp:revision>
  <dcterms:created xsi:type="dcterms:W3CDTF">2023-12-10T15:28:00Z</dcterms:created>
  <dcterms:modified xsi:type="dcterms:W3CDTF">2023-12-10T15:28:00Z</dcterms:modified>
</cp:coreProperties>
</file>