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A6" w:rsidRPr="004D56A6" w:rsidRDefault="009D71B3" w:rsidP="00B518CF">
      <w:pPr>
        <w:pStyle w:val="Heading1"/>
        <w:spacing w:line="360" w:lineRule="auto"/>
        <w:jc w:val="center"/>
        <w:rPr>
          <w:rFonts w:ascii="Times New Roman" w:hAnsi="Times New Roman" w:cs="Times New Roman"/>
          <w:color w:val="auto"/>
          <w:sz w:val="24"/>
          <w:szCs w:val="24"/>
          <w:lang w:eastAsia="en-US"/>
        </w:rPr>
      </w:pPr>
      <w:r>
        <w:rPr>
          <w:rFonts w:ascii="Book Antiqua" w:eastAsiaTheme="minorHAnsi" w:hAnsi="Book Antiqua"/>
          <w:color w:val="auto"/>
          <w:sz w:val="24"/>
          <w:szCs w:val="24"/>
          <w:lang w:eastAsia="en-US"/>
        </w:rPr>
        <w:t>Running Title</w:t>
      </w:r>
      <w:r w:rsidR="004D56A6" w:rsidRPr="004D56A6">
        <w:rPr>
          <w:rFonts w:ascii="Book Antiqua" w:eastAsiaTheme="minorHAnsi" w:hAnsi="Book Antiqua"/>
          <w:color w:val="auto"/>
          <w:sz w:val="24"/>
          <w:szCs w:val="24"/>
          <w:lang w:eastAsia="en-US"/>
        </w:rPr>
        <w:t>: DIGESTIBILITY OF PHOSPHORUS IN BROILERS</w:t>
      </w:r>
    </w:p>
    <w:p w:rsidR="0095585F" w:rsidRPr="00E747A2" w:rsidRDefault="0095585F" w:rsidP="00B518CF">
      <w:pPr>
        <w:pStyle w:val="Heading1"/>
        <w:spacing w:line="360" w:lineRule="auto"/>
        <w:jc w:val="center"/>
        <w:rPr>
          <w:rFonts w:ascii="Times New Roman" w:hAnsi="Times New Roman" w:cs="Times New Roman"/>
          <w:color w:val="auto"/>
          <w:sz w:val="24"/>
          <w:szCs w:val="24"/>
          <w:lang w:eastAsia="en-US"/>
        </w:rPr>
      </w:pPr>
      <w:r w:rsidRPr="00E747A2">
        <w:rPr>
          <w:rFonts w:ascii="Times New Roman" w:hAnsi="Times New Roman" w:cs="Times New Roman"/>
          <w:color w:val="auto"/>
          <w:sz w:val="24"/>
          <w:szCs w:val="24"/>
          <w:lang w:eastAsia="en-US"/>
        </w:rPr>
        <w:t xml:space="preserve">Evaluating Availability of Phosphorus in Feedstuffs of Plant Origin Fed for Broiler Chickens with </w:t>
      </w:r>
      <w:r w:rsidR="00B518CF">
        <w:rPr>
          <w:rFonts w:ascii="Times New Roman" w:hAnsi="Times New Roman" w:cs="Times New Roman"/>
          <w:color w:val="auto"/>
          <w:sz w:val="24"/>
          <w:szCs w:val="24"/>
          <w:lang w:eastAsia="en-US"/>
        </w:rPr>
        <w:t>the Effect</w:t>
      </w:r>
      <w:r w:rsidRPr="00E747A2">
        <w:rPr>
          <w:rFonts w:ascii="Times New Roman" w:hAnsi="Times New Roman" w:cs="Times New Roman"/>
          <w:color w:val="auto"/>
          <w:sz w:val="24"/>
          <w:szCs w:val="24"/>
          <w:lang w:eastAsia="en-US"/>
        </w:rPr>
        <w:t xml:space="preserve"> of Microbial Phytase</w:t>
      </w:r>
    </w:p>
    <w:p w:rsidR="005122A2" w:rsidRDefault="005122A2" w:rsidP="005122A2">
      <w:pPr>
        <w:pStyle w:val="MDPI13authornames"/>
        <w:spacing w:line="480" w:lineRule="auto"/>
        <w:jc w:val="center"/>
        <w:outlineLvl w:val="0"/>
        <w:rPr>
          <w:rFonts w:ascii="Book Antiqua" w:eastAsiaTheme="minorHAnsi" w:hAnsi="Book Antiqua"/>
          <w:b w:val="0"/>
          <w:bCs/>
          <w:sz w:val="24"/>
          <w:szCs w:val="24"/>
          <w:lang w:eastAsia="en-US"/>
        </w:rPr>
      </w:pPr>
    </w:p>
    <w:p w:rsidR="005122A2" w:rsidRPr="00B178FF" w:rsidRDefault="005122A2" w:rsidP="005122A2">
      <w:pPr>
        <w:pStyle w:val="MDPI13authornames"/>
        <w:spacing w:after="0" w:line="480" w:lineRule="auto"/>
        <w:jc w:val="center"/>
        <w:outlineLvl w:val="0"/>
        <w:rPr>
          <w:rFonts w:ascii="Book Antiqua" w:eastAsiaTheme="minorHAnsi" w:hAnsi="Book Antiqua"/>
          <w:b w:val="0"/>
          <w:bCs/>
          <w:sz w:val="24"/>
          <w:szCs w:val="24"/>
          <w:lang w:eastAsia="en-US"/>
        </w:rPr>
      </w:pPr>
      <w:r w:rsidRPr="00B178FF">
        <w:rPr>
          <w:rFonts w:ascii="Book Antiqua" w:eastAsiaTheme="minorHAnsi" w:hAnsi="Book Antiqua"/>
          <w:b w:val="0"/>
          <w:bCs/>
          <w:sz w:val="24"/>
          <w:szCs w:val="24"/>
          <w:lang w:eastAsia="en-US"/>
        </w:rPr>
        <w:t>Tesfay Hagos Haile</w:t>
      </w:r>
      <w:r w:rsidRPr="00B178FF">
        <w:rPr>
          <w:rFonts w:ascii="Book Antiqua" w:eastAsiaTheme="minorHAnsi" w:hAnsi="Book Antiqua"/>
          <w:b w:val="0"/>
          <w:bCs/>
          <w:sz w:val="24"/>
          <w:szCs w:val="24"/>
          <w:vertAlign w:val="superscript"/>
          <w:lang w:eastAsia="en-US"/>
        </w:rPr>
        <w:t>1, 2</w:t>
      </w:r>
      <w:r w:rsidRPr="00B178FF">
        <w:rPr>
          <w:rFonts w:ascii="Book Antiqua" w:eastAsiaTheme="minorHAnsi" w:hAnsi="Book Antiqua"/>
          <w:b w:val="0"/>
          <w:bCs/>
          <w:sz w:val="24"/>
          <w:szCs w:val="24"/>
          <w:lang w:eastAsia="en-US"/>
        </w:rPr>
        <w:t>, She Yue</w:t>
      </w:r>
      <w:r w:rsidRPr="00B178FF">
        <w:rPr>
          <w:rFonts w:ascii="Book Antiqua" w:eastAsiaTheme="minorHAnsi" w:hAnsi="Book Antiqua"/>
          <w:b w:val="0"/>
          <w:bCs/>
          <w:sz w:val="24"/>
          <w:szCs w:val="24"/>
          <w:vertAlign w:val="superscript"/>
          <w:lang w:eastAsia="en-US"/>
        </w:rPr>
        <w:t>1</w:t>
      </w:r>
      <w:r w:rsidRPr="00B178FF">
        <w:rPr>
          <w:rFonts w:ascii="Book Antiqua" w:eastAsiaTheme="minorHAnsi" w:hAnsi="Book Antiqua"/>
          <w:b w:val="0"/>
          <w:bCs/>
          <w:sz w:val="24"/>
          <w:szCs w:val="24"/>
          <w:lang w:eastAsia="en-US"/>
        </w:rPr>
        <w:t>, Cai Hui</w:t>
      </w:r>
      <w:r w:rsidRPr="00B178FF">
        <w:rPr>
          <w:rFonts w:ascii="Book Antiqua" w:eastAsiaTheme="minorEastAsia" w:hAnsi="Book Antiqua"/>
          <w:b w:val="0"/>
          <w:bCs/>
          <w:sz w:val="24"/>
          <w:szCs w:val="24"/>
          <w:lang w:eastAsia="zh-CN"/>
        </w:rPr>
        <w:t>yi</w:t>
      </w:r>
      <w:r w:rsidRPr="00B178FF">
        <w:rPr>
          <w:rFonts w:ascii="Book Antiqua" w:eastAsiaTheme="minorHAnsi" w:hAnsi="Book Antiqua"/>
          <w:b w:val="0"/>
          <w:bCs/>
          <w:sz w:val="24"/>
          <w:szCs w:val="24"/>
          <w:vertAlign w:val="superscript"/>
          <w:lang w:eastAsia="en-US"/>
        </w:rPr>
        <w:t>1</w:t>
      </w:r>
      <w:r w:rsidRPr="00B178FF">
        <w:rPr>
          <w:rFonts w:ascii="Book Antiqua" w:eastAsiaTheme="minorHAnsi" w:hAnsi="Book Antiqua"/>
          <w:b w:val="0"/>
          <w:bCs/>
          <w:sz w:val="24"/>
          <w:szCs w:val="24"/>
          <w:lang w:eastAsia="en-US"/>
        </w:rPr>
        <w:t xml:space="preserve"> and Liu Guohua</w:t>
      </w:r>
      <w:r w:rsidRPr="00B178FF">
        <w:rPr>
          <w:rFonts w:ascii="Book Antiqua" w:eastAsiaTheme="minorHAnsi" w:hAnsi="Book Antiqua"/>
          <w:b w:val="0"/>
          <w:bCs/>
          <w:sz w:val="24"/>
          <w:szCs w:val="24"/>
          <w:vertAlign w:val="superscript"/>
          <w:lang w:eastAsia="en-US"/>
        </w:rPr>
        <w:t>1,</w:t>
      </w:r>
      <w:r w:rsidRPr="00B178FF">
        <w:rPr>
          <w:rFonts w:ascii="Book Antiqua" w:eastAsiaTheme="minorHAnsi" w:hAnsi="Book Antiqua"/>
          <w:b w:val="0"/>
          <w:bCs/>
          <w:sz w:val="24"/>
          <w:szCs w:val="24"/>
          <w:lang w:eastAsia="en-US"/>
        </w:rPr>
        <w:t>*</w:t>
      </w:r>
    </w:p>
    <w:p w:rsidR="005122A2" w:rsidRPr="00B178FF" w:rsidRDefault="005122A2" w:rsidP="005122A2">
      <w:pPr>
        <w:pStyle w:val="MDPI16affiliation"/>
        <w:spacing w:line="480" w:lineRule="auto"/>
        <w:rPr>
          <w:rFonts w:ascii="Book Antiqua" w:hAnsi="Book Antiqua"/>
          <w:sz w:val="24"/>
          <w:szCs w:val="24"/>
        </w:rPr>
      </w:pPr>
      <w:r w:rsidRPr="00B178FF">
        <w:rPr>
          <w:rFonts w:ascii="Book Antiqua" w:eastAsiaTheme="minorHAnsi" w:hAnsi="Book Antiqua"/>
          <w:sz w:val="24"/>
          <w:szCs w:val="24"/>
          <w:vertAlign w:val="superscript"/>
          <w:lang w:eastAsia="en-US"/>
        </w:rPr>
        <w:t>1</w:t>
      </w:r>
      <w:r w:rsidRPr="00B178FF">
        <w:rPr>
          <w:rFonts w:ascii="Book Antiqua" w:eastAsiaTheme="minorHAnsi" w:hAnsi="Book Antiqua"/>
          <w:sz w:val="24"/>
          <w:szCs w:val="24"/>
          <w:lang w:eastAsia="en-US"/>
        </w:rPr>
        <w:t>Key Laboratory of Feed Biotechnology of Ministry of Agriculture, Feed Research Institute, Chinese Academy of Agricultural Sciences,12 Zhongguancun South Street, Haidian District, Beijing, China,</w:t>
      </w:r>
      <w:r w:rsidRPr="00B178FF">
        <w:rPr>
          <w:rFonts w:ascii="Book Antiqua" w:hAnsi="Book Antiqua"/>
          <w:sz w:val="24"/>
          <w:szCs w:val="24"/>
        </w:rPr>
        <w:t xml:space="preserve"> </w:t>
      </w:r>
      <w:hyperlink r:id="rId8" w:history="1">
        <w:r w:rsidRPr="00B178FF">
          <w:rPr>
            <w:rStyle w:val="Hyperlink"/>
            <w:rFonts w:ascii="Book Antiqua" w:hAnsi="Book Antiqua"/>
            <w:sz w:val="24"/>
            <w:szCs w:val="24"/>
          </w:rPr>
          <w:t>liuguohua@caas.cn</w:t>
        </w:r>
      </w:hyperlink>
      <w:r w:rsidRPr="00B178FF">
        <w:rPr>
          <w:rFonts w:ascii="Book Antiqua" w:hAnsi="Book Antiqua"/>
          <w:bCs/>
          <w:sz w:val="24"/>
          <w:szCs w:val="24"/>
        </w:rPr>
        <w:t xml:space="preserve">                       </w:t>
      </w:r>
    </w:p>
    <w:p w:rsidR="005122A2" w:rsidRPr="00B178FF" w:rsidRDefault="005122A2" w:rsidP="005122A2">
      <w:pPr>
        <w:pStyle w:val="MDPI16affiliation"/>
        <w:spacing w:line="480" w:lineRule="auto"/>
        <w:rPr>
          <w:rFonts w:ascii="Book Antiqua" w:hAnsi="Book Antiqua"/>
          <w:sz w:val="24"/>
          <w:szCs w:val="24"/>
        </w:rPr>
      </w:pPr>
      <w:r w:rsidRPr="00B178FF">
        <w:rPr>
          <w:rFonts w:ascii="Book Antiqua" w:hAnsi="Book Antiqua"/>
          <w:sz w:val="24"/>
          <w:szCs w:val="24"/>
          <w:vertAlign w:val="superscript"/>
        </w:rPr>
        <w:t>2</w:t>
      </w:r>
      <w:r w:rsidRPr="00B178FF">
        <w:rPr>
          <w:rFonts w:ascii="Book Antiqua" w:hAnsi="Book Antiqua"/>
          <w:sz w:val="24"/>
          <w:szCs w:val="24"/>
        </w:rPr>
        <w:t xml:space="preserve">Non-Ruminant Research Directorate, Tigray Agricultural Research Institute, Mekelle, Ethiopia, </w:t>
      </w:r>
      <w:hyperlink r:id="rId9" w:history="1">
        <w:r w:rsidRPr="00B178FF">
          <w:rPr>
            <w:rStyle w:val="Hyperlink"/>
            <w:rFonts w:ascii="Book Antiqua" w:hAnsi="Book Antiqua"/>
            <w:sz w:val="24"/>
            <w:szCs w:val="24"/>
          </w:rPr>
          <w:t>eytesfay@yahoo.com</w:t>
        </w:r>
      </w:hyperlink>
    </w:p>
    <w:p w:rsidR="005122A2" w:rsidRPr="002C3725" w:rsidRDefault="005122A2" w:rsidP="005122A2">
      <w:pPr>
        <w:pStyle w:val="MDPI16affiliation"/>
        <w:tabs>
          <w:tab w:val="left" w:pos="180"/>
        </w:tabs>
        <w:spacing w:line="480" w:lineRule="auto"/>
        <w:ind w:left="360" w:hanging="270"/>
        <w:rPr>
          <w:rFonts w:ascii="Book Antiqua" w:hAnsi="Book Antiqua"/>
          <w:sz w:val="22"/>
          <w:szCs w:val="22"/>
        </w:rPr>
      </w:pPr>
      <w:r w:rsidRPr="002C3725">
        <w:rPr>
          <w:rFonts w:ascii="Book Antiqua" w:hAnsi="Book Antiqua"/>
          <w:b/>
          <w:sz w:val="22"/>
          <w:szCs w:val="22"/>
          <w:vertAlign w:val="superscript"/>
        </w:rPr>
        <w:t xml:space="preserve">* </w:t>
      </w:r>
      <w:r w:rsidRPr="002C3725">
        <w:rPr>
          <w:rFonts w:ascii="Book Antiqua" w:hAnsi="Book Antiqua"/>
          <w:sz w:val="22"/>
          <w:szCs w:val="22"/>
        </w:rPr>
        <w:t>For c</w:t>
      </w:r>
      <w:r w:rsidRPr="002C3725">
        <w:rPr>
          <w:rFonts w:ascii="Book Antiqua" w:hAnsi="Book Antiqua" w:cs="Arial"/>
          <w:sz w:val="22"/>
          <w:szCs w:val="22"/>
        </w:rPr>
        <w:t>orrespondence</w:t>
      </w:r>
      <w:r w:rsidRPr="002C3725">
        <w:rPr>
          <w:rFonts w:ascii="Book Antiqua" w:hAnsi="Book Antiqua"/>
          <w:sz w:val="22"/>
          <w:szCs w:val="22"/>
        </w:rPr>
        <w:t xml:space="preserve">:  </w:t>
      </w:r>
      <w:hyperlink r:id="rId10" w:history="1">
        <w:r w:rsidRPr="00C6512A">
          <w:rPr>
            <w:rStyle w:val="Hyperlink"/>
            <w:rFonts w:ascii="Book Antiqua" w:hAnsi="Book Antiqua"/>
            <w:sz w:val="22"/>
            <w:szCs w:val="22"/>
          </w:rPr>
          <w:t>liuguohua@caas.cn</w:t>
        </w:r>
      </w:hyperlink>
      <w:r>
        <w:rPr>
          <w:rFonts w:ascii="Book Antiqua" w:hAnsi="Book Antiqua"/>
          <w:sz w:val="22"/>
          <w:szCs w:val="22"/>
        </w:rPr>
        <w:t xml:space="preserve">; </w:t>
      </w:r>
      <w:hyperlink r:id="rId11" w:history="1">
        <w:r w:rsidRPr="00B178FF">
          <w:rPr>
            <w:rStyle w:val="Hyperlink"/>
            <w:rFonts w:ascii="Book Antiqua" w:hAnsi="Book Antiqua"/>
            <w:sz w:val="24"/>
            <w:szCs w:val="24"/>
          </w:rPr>
          <w:t>eytesfay@yahoo.com</w:t>
        </w:r>
      </w:hyperlink>
    </w:p>
    <w:p w:rsidR="0049588B" w:rsidRPr="00E747A2" w:rsidRDefault="005E0E2B" w:rsidP="005122A2">
      <w:pPr>
        <w:pStyle w:val="Heading1"/>
        <w:spacing w:before="0"/>
        <w:rPr>
          <w:rFonts w:ascii="Times New Roman" w:hAnsi="Times New Roman" w:cs="Times New Roman"/>
          <w:snapToGrid w:val="0"/>
          <w:color w:val="auto"/>
          <w:sz w:val="24"/>
          <w:szCs w:val="24"/>
          <w:lang w:eastAsia="zh-CN" w:bidi="en-US"/>
        </w:rPr>
      </w:pPr>
      <w:r w:rsidRPr="00E747A2">
        <w:rPr>
          <w:rFonts w:ascii="Times New Roman" w:hAnsi="Times New Roman" w:cs="Times New Roman"/>
          <w:snapToGrid w:val="0"/>
          <w:color w:val="auto"/>
          <w:sz w:val="24"/>
          <w:szCs w:val="24"/>
          <w:lang w:eastAsia="zh-CN" w:bidi="en-US"/>
        </w:rPr>
        <w:t>Abstract</w:t>
      </w:r>
    </w:p>
    <w:p w:rsidR="00840AC3" w:rsidRPr="00E747A2" w:rsidRDefault="00840AC3" w:rsidP="00840AC3">
      <w:pPr>
        <w:rPr>
          <w:color w:val="auto"/>
          <w:lang w:eastAsia="zh-CN" w:bidi="en-US"/>
        </w:rPr>
      </w:pPr>
    </w:p>
    <w:p w:rsidR="00717891" w:rsidRPr="00E747A2" w:rsidRDefault="005B7D0E" w:rsidP="00091C3C">
      <w:pPr>
        <w:spacing w:line="360" w:lineRule="auto"/>
        <w:rPr>
          <w:i/>
          <w:iCs/>
          <w:snapToGrid w:val="0"/>
          <w:color w:val="auto"/>
          <w:szCs w:val="24"/>
          <w:lang w:eastAsia="zh-CN" w:bidi="en-US"/>
        </w:rPr>
      </w:pPr>
      <w:r w:rsidRPr="00E747A2">
        <w:rPr>
          <w:i/>
          <w:iCs/>
          <w:snapToGrid w:val="0"/>
          <w:color w:val="auto"/>
          <w:szCs w:val="24"/>
          <w:lang w:eastAsia="zh-CN" w:bidi="en-US"/>
        </w:rPr>
        <w:t xml:space="preserve">The </w:t>
      </w:r>
      <w:r w:rsidR="00717891" w:rsidRPr="00E747A2">
        <w:rPr>
          <w:i/>
          <w:iCs/>
          <w:snapToGrid w:val="0"/>
          <w:color w:val="auto"/>
          <w:szCs w:val="24"/>
          <w:lang w:eastAsia="zh-CN" w:bidi="en-US"/>
        </w:rPr>
        <w:t>experimental study was conducted to determine the apparent availability</w:t>
      </w:r>
      <w:r w:rsidRPr="00E747A2">
        <w:rPr>
          <w:i/>
          <w:iCs/>
          <w:snapToGrid w:val="0"/>
          <w:color w:val="auto"/>
          <w:szCs w:val="24"/>
          <w:lang w:eastAsia="zh-CN" w:bidi="en-US"/>
        </w:rPr>
        <w:t xml:space="preserve"> (AA)</w:t>
      </w:r>
      <w:r w:rsidR="00717891" w:rsidRPr="00E747A2">
        <w:rPr>
          <w:i/>
          <w:iCs/>
          <w:snapToGrid w:val="0"/>
          <w:color w:val="auto"/>
          <w:szCs w:val="24"/>
          <w:lang w:eastAsia="zh-CN" w:bidi="en-US"/>
        </w:rPr>
        <w:t xml:space="preserve"> and true availability</w:t>
      </w:r>
      <w:r w:rsidRPr="00E747A2">
        <w:rPr>
          <w:i/>
          <w:iCs/>
          <w:snapToGrid w:val="0"/>
          <w:color w:val="auto"/>
          <w:szCs w:val="24"/>
          <w:lang w:eastAsia="zh-CN" w:bidi="en-US"/>
        </w:rPr>
        <w:t xml:space="preserve"> (TA)</w:t>
      </w:r>
      <w:r w:rsidR="00717891" w:rsidRPr="00E747A2">
        <w:rPr>
          <w:i/>
          <w:iCs/>
          <w:snapToGrid w:val="0"/>
          <w:color w:val="auto"/>
          <w:szCs w:val="24"/>
          <w:lang w:eastAsia="zh-CN" w:bidi="en-US"/>
        </w:rPr>
        <w:t xml:space="preserve"> of </w:t>
      </w:r>
      <w:r w:rsidR="00FC6DF7" w:rsidRPr="00E747A2">
        <w:rPr>
          <w:i/>
          <w:iCs/>
          <w:snapToGrid w:val="0"/>
          <w:color w:val="auto"/>
          <w:szCs w:val="24"/>
          <w:lang w:eastAsia="zh-CN" w:bidi="en-US"/>
        </w:rPr>
        <w:t>phosphorus (</w:t>
      </w:r>
      <w:r w:rsidR="00717891" w:rsidRPr="00E747A2">
        <w:rPr>
          <w:i/>
          <w:iCs/>
          <w:snapToGrid w:val="0"/>
          <w:color w:val="auto"/>
          <w:szCs w:val="24"/>
          <w:lang w:eastAsia="zh-CN" w:bidi="en-US"/>
        </w:rPr>
        <w:t>P</w:t>
      </w:r>
      <w:r w:rsidR="00FC6DF7" w:rsidRPr="00E747A2">
        <w:rPr>
          <w:i/>
          <w:iCs/>
          <w:snapToGrid w:val="0"/>
          <w:color w:val="auto"/>
          <w:szCs w:val="24"/>
          <w:lang w:eastAsia="zh-CN" w:bidi="en-US"/>
        </w:rPr>
        <w:t>)</w:t>
      </w:r>
      <w:r w:rsidR="00717891" w:rsidRPr="00E747A2">
        <w:rPr>
          <w:i/>
          <w:iCs/>
          <w:snapToGrid w:val="0"/>
          <w:color w:val="auto"/>
          <w:szCs w:val="24"/>
          <w:lang w:eastAsia="zh-CN" w:bidi="en-US"/>
        </w:rPr>
        <w:t xml:space="preserve"> in </w:t>
      </w:r>
      <w:r w:rsidR="00F51ABD" w:rsidRPr="00E747A2">
        <w:rPr>
          <w:i/>
          <w:iCs/>
          <w:snapToGrid w:val="0"/>
          <w:color w:val="auto"/>
          <w:szCs w:val="24"/>
          <w:lang w:eastAsia="zh-CN" w:bidi="en-US"/>
        </w:rPr>
        <w:t xml:space="preserve">feed ingredients </w:t>
      </w:r>
      <w:r w:rsidR="00091C3C">
        <w:rPr>
          <w:i/>
          <w:iCs/>
          <w:snapToGrid w:val="0"/>
          <w:color w:val="auto"/>
          <w:szCs w:val="24"/>
          <w:lang w:eastAsia="zh-CN" w:bidi="en-US"/>
        </w:rPr>
        <w:t>of</w:t>
      </w:r>
      <w:r w:rsidR="00F51ABD" w:rsidRPr="00E747A2">
        <w:rPr>
          <w:i/>
          <w:iCs/>
          <w:snapToGrid w:val="0"/>
          <w:color w:val="auto"/>
          <w:szCs w:val="24"/>
          <w:lang w:eastAsia="zh-CN" w:bidi="en-US"/>
        </w:rPr>
        <w:t xml:space="preserve"> </w:t>
      </w:r>
      <w:r w:rsidR="00717891" w:rsidRPr="00E747A2">
        <w:rPr>
          <w:i/>
          <w:iCs/>
          <w:snapToGrid w:val="0"/>
          <w:color w:val="auto"/>
          <w:szCs w:val="24"/>
          <w:lang w:eastAsia="zh-CN" w:bidi="en-US"/>
        </w:rPr>
        <w:t>soybean</w:t>
      </w:r>
      <w:r w:rsidR="005A724A" w:rsidRPr="00E747A2">
        <w:rPr>
          <w:i/>
          <w:iCs/>
          <w:snapToGrid w:val="0"/>
          <w:color w:val="auto"/>
          <w:szCs w:val="24"/>
          <w:lang w:eastAsia="zh-CN" w:bidi="en-US"/>
        </w:rPr>
        <w:t xml:space="preserve"> meal (SBM), canola meal (CNM)</w:t>
      </w:r>
      <w:r w:rsidR="00717891" w:rsidRPr="00E747A2">
        <w:rPr>
          <w:i/>
          <w:iCs/>
          <w:snapToGrid w:val="0"/>
          <w:color w:val="auto"/>
          <w:szCs w:val="24"/>
          <w:lang w:eastAsia="zh-CN" w:bidi="en-US"/>
        </w:rPr>
        <w:t>, peanut meal (PM), corn distiller’s dried grains with solubles (corn DDGS), wheat bran (WB), wheat grain (WG)</w:t>
      </w:r>
      <w:r w:rsidR="004C1523" w:rsidRPr="00E747A2">
        <w:rPr>
          <w:i/>
          <w:iCs/>
          <w:snapToGrid w:val="0"/>
          <w:color w:val="auto"/>
          <w:szCs w:val="24"/>
          <w:lang w:eastAsia="zh-CN" w:bidi="en-US"/>
        </w:rPr>
        <w:t>,</w:t>
      </w:r>
      <w:r w:rsidR="00717891" w:rsidRPr="00E747A2">
        <w:rPr>
          <w:i/>
          <w:iCs/>
          <w:snapToGrid w:val="0"/>
          <w:color w:val="auto"/>
          <w:szCs w:val="24"/>
          <w:lang w:eastAsia="zh-CN" w:bidi="en-US"/>
        </w:rPr>
        <w:t xml:space="preserve"> and wheat middl</w:t>
      </w:r>
      <w:r w:rsidR="00396104" w:rsidRPr="00E747A2">
        <w:rPr>
          <w:i/>
          <w:iCs/>
          <w:snapToGrid w:val="0"/>
          <w:color w:val="auto"/>
          <w:szCs w:val="24"/>
          <w:lang w:eastAsia="zh-CN" w:bidi="en-US"/>
        </w:rPr>
        <w:t xml:space="preserve">ing (WM) with </w:t>
      </w:r>
      <w:r w:rsidR="006A4ED6" w:rsidRPr="00E747A2">
        <w:rPr>
          <w:i/>
          <w:iCs/>
          <w:snapToGrid w:val="0"/>
          <w:color w:val="auto"/>
          <w:szCs w:val="24"/>
          <w:lang w:eastAsia="zh-CN" w:bidi="en-US"/>
        </w:rPr>
        <w:t xml:space="preserve">the </w:t>
      </w:r>
      <w:r w:rsidR="00396104" w:rsidRPr="00E747A2">
        <w:rPr>
          <w:i/>
          <w:iCs/>
          <w:snapToGrid w:val="0"/>
          <w:color w:val="auto"/>
          <w:szCs w:val="24"/>
          <w:lang w:eastAsia="zh-CN" w:bidi="en-US"/>
        </w:rPr>
        <w:t>effect of phytase. In the experiment, 5</w:t>
      </w:r>
      <w:r w:rsidR="005A724A" w:rsidRPr="00E747A2">
        <w:rPr>
          <w:i/>
          <w:iCs/>
          <w:snapToGrid w:val="0"/>
          <w:color w:val="auto"/>
          <w:szCs w:val="24"/>
          <w:lang w:eastAsia="zh-CN" w:bidi="en-US"/>
        </w:rPr>
        <w:t>0</w:t>
      </w:r>
      <w:r w:rsidR="00396104" w:rsidRPr="00E747A2">
        <w:rPr>
          <w:i/>
          <w:iCs/>
          <w:snapToGrid w:val="0"/>
          <w:color w:val="auto"/>
          <w:szCs w:val="24"/>
          <w:lang w:eastAsia="zh-CN" w:bidi="en-US"/>
        </w:rPr>
        <w:t>4</w:t>
      </w:r>
      <w:r w:rsidR="00717891" w:rsidRPr="00E747A2">
        <w:rPr>
          <w:i/>
          <w:iCs/>
          <w:snapToGrid w:val="0"/>
          <w:color w:val="auto"/>
          <w:szCs w:val="24"/>
          <w:lang w:eastAsia="zh-CN" w:bidi="en-US"/>
        </w:rPr>
        <w:t xml:space="preserve"> male Arbor Acres broiler chickens aged 23 days with similar body </w:t>
      </w:r>
      <w:r w:rsidR="00B518CF" w:rsidRPr="00E747A2">
        <w:rPr>
          <w:i/>
          <w:iCs/>
          <w:snapToGrid w:val="0"/>
          <w:color w:val="auto"/>
          <w:szCs w:val="24"/>
          <w:lang w:eastAsia="zh-CN" w:bidi="en-US"/>
        </w:rPr>
        <w:t>weights were</w:t>
      </w:r>
      <w:r w:rsidR="005A724A" w:rsidRPr="00E747A2">
        <w:rPr>
          <w:i/>
          <w:iCs/>
          <w:snapToGrid w:val="0"/>
          <w:color w:val="auto"/>
          <w:szCs w:val="24"/>
          <w:lang w:eastAsia="zh-CN" w:bidi="en-US"/>
        </w:rPr>
        <w:t xml:space="preserve"> assigned randomly into 14 treatments with six</w:t>
      </w:r>
      <w:r w:rsidR="00FC6DF7" w:rsidRPr="00E747A2">
        <w:rPr>
          <w:i/>
          <w:iCs/>
          <w:snapToGrid w:val="0"/>
          <w:color w:val="auto"/>
          <w:szCs w:val="24"/>
          <w:lang w:eastAsia="zh-CN" w:bidi="en-US"/>
        </w:rPr>
        <w:t xml:space="preserve"> replicate (cage)</w:t>
      </w:r>
      <w:r w:rsidR="00717891" w:rsidRPr="00E747A2">
        <w:rPr>
          <w:i/>
          <w:iCs/>
          <w:snapToGrid w:val="0"/>
          <w:color w:val="auto"/>
          <w:szCs w:val="24"/>
          <w:lang w:eastAsia="zh-CN" w:bidi="en-US"/>
        </w:rPr>
        <w:t xml:space="preserve"> and six birds </w:t>
      </w:r>
      <w:r w:rsidRPr="00E747A2">
        <w:rPr>
          <w:i/>
          <w:iCs/>
          <w:snapToGrid w:val="0"/>
          <w:color w:val="auto"/>
          <w:szCs w:val="24"/>
          <w:lang w:eastAsia="zh-CN" w:bidi="en-US"/>
        </w:rPr>
        <w:t>per</w:t>
      </w:r>
      <w:r w:rsidR="00717891" w:rsidRPr="00E747A2">
        <w:rPr>
          <w:i/>
          <w:iCs/>
          <w:snapToGrid w:val="0"/>
          <w:color w:val="auto"/>
          <w:szCs w:val="24"/>
          <w:lang w:eastAsia="zh-CN" w:bidi="en-US"/>
        </w:rPr>
        <w:t xml:space="preserve"> cage. </w:t>
      </w:r>
      <w:r w:rsidR="005A724A" w:rsidRPr="00E747A2">
        <w:rPr>
          <w:i/>
          <w:iCs/>
          <w:snapToGrid w:val="0"/>
          <w:color w:val="auto"/>
          <w:szCs w:val="24"/>
          <w:lang w:eastAsia="zh-CN" w:bidi="en-US"/>
        </w:rPr>
        <w:t>Fourteen</w:t>
      </w:r>
      <w:r w:rsidR="00717891" w:rsidRPr="00E747A2">
        <w:rPr>
          <w:i/>
          <w:iCs/>
          <w:snapToGrid w:val="0"/>
          <w:color w:val="auto"/>
          <w:szCs w:val="24"/>
          <w:lang w:eastAsia="zh-CN" w:bidi="en-US"/>
        </w:rPr>
        <w:t xml:space="preserve"> diets were designed by combining </w:t>
      </w:r>
      <w:r w:rsidR="00396104" w:rsidRPr="00E747A2">
        <w:rPr>
          <w:i/>
          <w:iCs/>
          <w:snapToGrid w:val="0"/>
          <w:color w:val="auto"/>
          <w:szCs w:val="24"/>
          <w:lang w:eastAsia="zh-CN" w:bidi="en-US"/>
        </w:rPr>
        <w:t>two</w:t>
      </w:r>
      <w:r w:rsidR="00717891" w:rsidRPr="00E747A2">
        <w:rPr>
          <w:i/>
          <w:iCs/>
          <w:snapToGrid w:val="0"/>
          <w:color w:val="auto"/>
          <w:szCs w:val="24"/>
          <w:lang w:eastAsia="zh-CN" w:bidi="en-US"/>
        </w:rPr>
        <w:t xml:space="preserve"> experimental factors </w:t>
      </w:r>
      <w:r w:rsidR="004C1523" w:rsidRPr="00E747A2">
        <w:rPr>
          <w:i/>
          <w:iCs/>
          <w:snapToGrid w:val="0"/>
          <w:color w:val="auto"/>
          <w:szCs w:val="24"/>
          <w:lang w:eastAsia="zh-CN" w:bidi="en-US"/>
        </w:rPr>
        <w:t>that</w:t>
      </w:r>
      <w:r w:rsidR="00717891" w:rsidRPr="00E747A2">
        <w:rPr>
          <w:i/>
          <w:iCs/>
          <w:snapToGrid w:val="0"/>
          <w:color w:val="auto"/>
          <w:szCs w:val="24"/>
          <w:lang w:eastAsia="zh-CN" w:bidi="en-US"/>
        </w:rPr>
        <w:t xml:space="preserve"> include </w:t>
      </w:r>
      <w:r w:rsidR="00396104" w:rsidRPr="00E747A2">
        <w:rPr>
          <w:i/>
          <w:iCs/>
          <w:snapToGrid w:val="0"/>
          <w:color w:val="auto"/>
          <w:szCs w:val="24"/>
          <w:lang w:eastAsia="zh-CN" w:bidi="en-US"/>
        </w:rPr>
        <w:t>seven</w:t>
      </w:r>
      <w:r w:rsidR="00FC6DF7" w:rsidRPr="00E747A2">
        <w:rPr>
          <w:i/>
          <w:iCs/>
          <w:snapToGrid w:val="0"/>
          <w:color w:val="auto"/>
          <w:szCs w:val="24"/>
          <w:lang w:eastAsia="zh-CN" w:bidi="en-US"/>
        </w:rPr>
        <w:t xml:space="preserve"> ingredient</w:t>
      </w:r>
      <w:r w:rsidR="006A4ED6" w:rsidRPr="00E747A2">
        <w:rPr>
          <w:i/>
          <w:iCs/>
          <w:snapToGrid w:val="0"/>
          <w:color w:val="auto"/>
          <w:szCs w:val="24"/>
          <w:lang w:eastAsia="zh-CN" w:bidi="en-US"/>
        </w:rPr>
        <w:t>s</w:t>
      </w:r>
      <w:r w:rsidR="00FC6DF7" w:rsidRPr="00E747A2">
        <w:rPr>
          <w:i/>
          <w:iCs/>
          <w:snapToGrid w:val="0"/>
          <w:color w:val="auto"/>
          <w:szCs w:val="24"/>
          <w:lang w:eastAsia="zh-CN" w:bidi="en-US"/>
        </w:rPr>
        <w:t xml:space="preserve"> and</w:t>
      </w:r>
      <w:r w:rsidR="00717891" w:rsidRPr="00E747A2">
        <w:rPr>
          <w:i/>
          <w:iCs/>
          <w:snapToGrid w:val="0"/>
          <w:color w:val="auto"/>
          <w:szCs w:val="24"/>
          <w:lang w:eastAsia="zh-CN" w:bidi="en-US"/>
        </w:rPr>
        <w:t xml:space="preserve"> phytase (addition or not). Dietary P was only provided by the </w:t>
      </w:r>
      <w:r w:rsidRPr="00E747A2">
        <w:rPr>
          <w:i/>
          <w:iCs/>
          <w:snapToGrid w:val="0"/>
          <w:color w:val="auto"/>
          <w:szCs w:val="24"/>
          <w:lang w:eastAsia="zh-CN" w:bidi="en-US"/>
        </w:rPr>
        <w:t xml:space="preserve">tested </w:t>
      </w:r>
      <w:r w:rsidR="00717891" w:rsidRPr="00E747A2">
        <w:rPr>
          <w:i/>
          <w:iCs/>
          <w:snapToGrid w:val="0"/>
          <w:color w:val="auto"/>
          <w:szCs w:val="24"/>
          <w:lang w:eastAsia="zh-CN" w:bidi="en-US"/>
        </w:rPr>
        <w:t>feed ingredient. A purified phosphorus-free (P-free)</w:t>
      </w:r>
      <w:r w:rsidR="00396104" w:rsidRPr="00E747A2">
        <w:rPr>
          <w:i/>
          <w:iCs/>
          <w:snapToGrid w:val="0"/>
          <w:color w:val="auto"/>
          <w:szCs w:val="24"/>
          <w:lang w:eastAsia="zh-CN" w:bidi="en-US"/>
        </w:rPr>
        <w:t xml:space="preserve"> diet was prepared to determine</w:t>
      </w:r>
      <w:r w:rsidR="00717891" w:rsidRPr="00E747A2">
        <w:rPr>
          <w:i/>
          <w:iCs/>
          <w:snapToGrid w:val="0"/>
          <w:color w:val="auto"/>
          <w:szCs w:val="24"/>
          <w:lang w:eastAsia="zh-CN" w:bidi="en-US"/>
        </w:rPr>
        <w:t xml:space="preserve"> endogenous P loss (EPL)</w:t>
      </w:r>
      <w:r w:rsidR="00396104" w:rsidRPr="00E747A2">
        <w:rPr>
          <w:i/>
          <w:iCs/>
          <w:snapToGrid w:val="0"/>
          <w:color w:val="auto"/>
          <w:szCs w:val="24"/>
          <w:lang w:eastAsia="zh-CN" w:bidi="en-US"/>
        </w:rPr>
        <w:t xml:space="preserve"> using six birds</w:t>
      </w:r>
      <w:r w:rsidR="00717891" w:rsidRPr="00E747A2">
        <w:rPr>
          <w:i/>
          <w:iCs/>
          <w:snapToGrid w:val="0"/>
          <w:color w:val="auto"/>
          <w:szCs w:val="24"/>
          <w:lang w:eastAsia="zh-CN" w:bidi="en-US"/>
        </w:rPr>
        <w:t xml:space="preserve">. The availability of P was evaluated by </w:t>
      </w:r>
      <w:r w:rsidRPr="00E747A2">
        <w:rPr>
          <w:i/>
          <w:iCs/>
          <w:snapToGrid w:val="0"/>
          <w:color w:val="auto"/>
          <w:szCs w:val="24"/>
          <w:lang w:eastAsia="zh-CN" w:bidi="en-US"/>
        </w:rPr>
        <w:t>collect</w:t>
      </w:r>
      <w:r w:rsidR="004C1523" w:rsidRPr="00E747A2">
        <w:rPr>
          <w:i/>
          <w:iCs/>
          <w:snapToGrid w:val="0"/>
          <w:color w:val="auto"/>
          <w:szCs w:val="24"/>
          <w:lang w:eastAsia="zh-CN" w:bidi="en-US"/>
        </w:rPr>
        <w:t xml:space="preserve"> the feces’</w:t>
      </w:r>
      <w:r w:rsidR="00091C3C">
        <w:rPr>
          <w:i/>
          <w:iCs/>
          <w:snapToGrid w:val="0"/>
          <w:color w:val="auto"/>
          <w:szCs w:val="24"/>
          <w:lang w:eastAsia="zh-CN" w:bidi="en-US"/>
        </w:rPr>
        <w:t xml:space="preserve"> trial. Results showed</w:t>
      </w:r>
      <w:r w:rsidR="00717891" w:rsidRPr="00E747A2">
        <w:rPr>
          <w:i/>
          <w:iCs/>
          <w:snapToGrid w:val="0"/>
          <w:color w:val="auto"/>
          <w:szCs w:val="24"/>
          <w:lang w:eastAsia="zh-CN" w:bidi="en-US"/>
        </w:rPr>
        <w:t xml:space="preserve"> that the </w:t>
      </w:r>
      <w:r w:rsidRPr="00E747A2">
        <w:rPr>
          <w:i/>
          <w:iCs/>
          <w:snapToGrid w:val="0"/>
          <w:color w:val="auto"/>
          <w:szCs w:val="24"/>
          <w:lang w:eastAsia="zh-CN" w:bidi="en-US"/>
        </w:rPr>
        <w:t>EPL</w:t>
      </w:r>
      <w:r w:rsidR="00717891" w:rsidRPr="00E747A2">
        <w:rPr>
          <w:i/>
          <w:iCs/>
          <w:snapToGrid w:val="0"/>
          <w:color w:val="auto"/>
          <w:szCs w:val="24"/>
          <w:lang w:eastAsia="zh-CN" w:bidi="en-US"/>
        </w:rPr>
        <w:t xml:space="preserve"> </w:t>
      </w:r>
      <w:r w:rsidRPr="00E747A2">
        <w:rPr>
          <w:i/>
          <w:iCs/>
          <w:snapToGrid w:val="0"/>
          <w:color w:val="auto"/>
          <w:szCs w:val="24"/>
          <w:lang w:eastAsia="zh-CN" w:bidi="en-US"/>
        </w:rPr>
        <w:t xml:space="preserve">value </w:t>
      </w:r>
      <w:r w:rsidR="00717891" w:rsidRPr="00E747A2">
        <w:rPr>
          <w:i/>
          <w:iCs/>
          <w:snapToGrid w:val="0"/>
          <w:color w:val="auto"/>
          <w:szCs w:val="24"/>
          <w:lang w:eastAsia="zh-CN" w:bidi="en-US"/>
        </w:rPr>
        <w:t xml:space="preserve">was 97.45 mg/DMI. The </w:t>
      </w:r>
      <w:r w:rsidRPr="00E747A2">
        <w:rPr>
          <w:i/>
          <w:iCs/>
          <w:snapToGrid w:val="0"/>
          <w:color w:val="auto"/>
          <w:szCs w:val="24"/>
          <w:lang w:eastAsia="zh-CN" w:bidi="en-US"/>
        </w:rPr>
        <w:t>TA</w:t>
      </w:r>
      <w:r w:rsidR="00717891" w:rsidRPr="00E747A2">
        <w:rPr>
          <w:i/>
          <w:iCs/>
          <w:snapToGrid w:val="0"/>
          <w:color w:val="auto"/>
          <w:szCs w:val="24"/>
          <w:lang w:eastAsia="zh-CN" w:bidi="en-US"/>
        </w:rPr>
        <w:t xml:space="preserve"> of </w:t>
      </w:r>
      <w:r w:rsidR="00C737FC" w:rsidRPr="00E747A2">
        <w:rPr>
          <w:i/>
          <w:iCs/>
          <w:snapToGrid w:val="0"/>
          <w:color w:val="auto"/>
          <w:szCs w:val="24"/>
          <w:lang w:eastAsia="zh-CN" w:bidi="en-US"/>
        </w:rPr>
        <w:t xml:space="preserve">P in </w:t>
      </w:r>
      <w:r w:rsidRPr="00E747A2">
        <w:rPr>
          <w:i/>
          <w:iCs/>
          <w:snapToGrid w:val="0"/>
          <w:color w:val="auto"/>
          <w:szCs w:val="24"/>
          <w:lang w:eastAsia="zh-CN" w:bidi="en-US"/>
        </w:rPr>
        <w:t>SBM</w:t>
      </w:r>
      <w:r w:rsidR="00C737FC" w:rsidRPr="00E747A2">
        <w:rPr>
          <w:i/>
          <w:iCs/>
          <w:snapToGrid w:val="0"/>
          <w:color w:val="auto"/>
          <w:szCs w:val="24"/>
          <w:lang w:eastAsia="zh-CN" w:bidi="en-US"/>
        </w:rPr>
        <w:t xml:space="preserve">, </w:t>
      </w:r>
      <w:r w:rsidRPr="00E747A2">
        <w:rPr>
          <w:i/>
          <w:iCs/>
          <w:snapToGrid w:val="0"/>
          <w:color w:val="auto"/>
          <w:szCs w:val="24"/>
          <w:lang w:eastAsia="zh-CN" w:bidi="en-US"/>
        </w:rPr>
        <w:t>CNM</w:t>
      </w:r>
      <w:r w:rsidR="00C737FC" w:rsidRPr="00E747A2">
        <w:rPr>
          <w:i/>
          <w:iCs/>
          <w:snapToGrid w:val="0"/>
          <w:color w:val="auto"/>
          <w:szCs w:val="24"/>
          <w:lang w:eastAsia="zh-CN" w:bidi="en-US"/>
        </w:rPr>
        <w:t>,</w:t>
      </w:r>
      <w:r w:rsidR="00717891" w:rsidRPr="00E747A2">
        <w:rPr>
          <w:i/>
          <w:iCs/>
          <w:snapToGrid w:val="0"/>
          <w:color w:val="auto"/>
          <w:szCs w:val="24"/>
          <w:lang w:eastAsia="zh-CN" w:bidi="en-US"/>
        </w:rPr>
        <w:t xml:space="preserve"> and corn DDGS was </w:t>
      </w:r>
      <w:r w:rsidR="004C1523" w:rsidRPr="00E747A2">
        <w:rPr>
          <w:i/>
          <w:iCs/>
          <w:snapToGrid w:val="0"/>
          <w:color w:val="auto"/>
          <w:szCs w:val="24"/>
          <w:lang w:eastAsia="zh-CN" w:bidi="en-US"/>
        </w:rPr>
        <w:t>53.90%</w:t>
      </w:r>
      <w:r w:rsidR="00C737FC" w:rsidRPr="00E747A2">
        <w:rPr>
          <w:i/>
          <w:iCs/>
          <w:snapToGrid w:val="0"/>
          <w:color w:val="auto"/>
          <w:szCs w:val="24"/>
          <w:lang w:eastAsia="zh-CN" w:bidi="en-US"/>
        </w:rPr>
        <w:t xml:space="preserve">, 53.22%, and 49.45%, respectively, which was </w:t>
      </w:r>
      <w:r w:rsidR="00717891" w:rsidRPr="00E747A2">
        <w:rPr>
          <w:i/>
          <w:iCs/>
          <w:snapToGrid w:val="0"/>
          <w:color w:val="auto"/>
          <w:szCs w:val="24"/>
          <w:lang w:eastAsia="zh-CN" w:bidi="en-US"/>
        </w:rPr>
        <w:t xml:space="preserve">much higher than </w:t>
      </w:r>
      <w:r w:rsidRPr="00E747A2">
        <w:rPr>
          <w:i/>
          <w:iCs/>
          <w:snapToGrid w:val="0"/>
          <w:color w:val="auto"/>
          <w:szCs w:val="24"/>
          <w:lang w:eastAsia="zh-CN" w:bidi="en-US"/>
        </w:rPr>
        <w:t>PM</w:t>
      </w:r>
      <w:r w:rsidR="00F51ABD" w:rsidRPr="00E747A2">
        <w:rPr>
          <w:i/>
          <w:iCs/>
          <w:snapToGrid w:val="0"/>
          <w:color w:val="auto"/>
          <w:szCs w:val="24"/>
          <w:lang w:eastAsia="zh-CN" w:bidi="en-US"/>
        </w:rPr>
        <w:t xml:space="preserve"> </w:t>
      </w:r>
      <w:r w:rsidR="00F51ABD" w:rsidRPr="00E747A2">
        <w:rPr>
          <w:i/>
          <w:iCs/>
          <w:snapToGrid w:val="0"/>
          <w:color w:val="auto"/>
          <w:szCs w:val="24"/>
          <w:lang w:eastAsia="zh-CN" w:bidi="en-US"/>
        </w:rPr>
        <w:lastRenderedPageBreak/>
        <w:t>(</w:t>
      </w:r>
      <w:r w:rsidR="00C737FC" w:rsidRPr="00E747A2">
        <w:rPr>
          <w:i/>
          <w:iCs/>
          <w:snapToGrid w:val="0"/>
          <w:color w:val="auto"/>
          <w:szCs w:val="24"/>
          <w:lang w:eastAsia="zh-CN" w:bidi="en-US"/>
        </w:rPr>
        <w:t>42.76%)</w:t>
      </w:r>
      <w:r w:rsidR="00717891" w:rsidRPr="00E747A2">
        <w:rPr>
          <w:i/>
          <w:iCs/>
          <w:snapToGrid w:val="0"/>
          <w:color w:val="auto"/>
          <w:szCs w:val="24"/>
          <w:lang w:eastAsia="zh-CN" w:bidi="en-US"/>
        </w:rPr>
        <w:t xml:space="preserve">, </w:t>
      </w:r>
      <w:r w:rsidRPr="00E747A2">
        <w:rPr>
          <w:i/>
          <w:iCs/>
          <w:snapToGrid w:val="0"/>
          <w:color w:val="auto"/>
          <w:szCs w:val="24"/>
          <w:lang w:eastAsia="zh-CN" w:bidi="en-US"/>
        </w:rPr>
        <w:t>WB</w:t>
      </w:r>
      <w:r w:rsidR="00C737FC" w:rsidRPr="00E747A2">
        <w:rPr>
          <w:i/>
          <w:iCs/>
          <w:snapToGrid w:val="0"/>
          <w:color w:val="auto"/>
          <w:szCs w:val="24"/>
          <w:lang w:eastAsia="zh-CN" w:bidi="en-US"/>
        </w:rPr>
        <w:t xml:space="preserve"> (38.26%)</w:t>
      </w:r>
      <w:r w:rsidR="00717891" w:rsidRPr="00E747A2">
        <w:rPr>
          <w:i/>
          <w:iCs/>
          <w:snapToGrid w:val="0"/>
          <w:color w:val="auto"/>
          <w:szCs w:val="24"/>
          <w:lang w:eastAsia="zh-CN" w:bidi="en-US"/>
        </w:rPr>
        <w:t xml:space="preserve">, </w:t>
      </w:r>
      <w:r w:rsidRPr="00E747A2">
        <w:rPr>
          <w:i/>
          <w:iCs/>
          <w:snapToGrid w:val="0"/>
          <w:color w:val="auto"/>
          <w:szCs w:val="24"/>
          <w:lang w:eastAsia="zh-CN" w:bidi="en-US"/>
        </w:rPr>
        <w:t>WG</w:t>
      </w:r>
      <w:r w:rsidR="00F51ABD" w:rsidRPr="00E747A2">
        <w:rPr>
          <w:i/>
          <w:iCs/>
          <w:snapToGrid w:val="0"/>
          <w:color w:val="auto"/>
          <w:szCs w:val="24"/>
          <w:lang w:eastAsia="zh-CN" w:bidi="en-US"/>
        </w:rPr>
        <w:t xml:space="preserve"> (</w:t>
      </w:r>
      <w:r w:rsidR="00C737FC" w:rsidRPr="00E747A2">
        <w:rPr>
          <w:i/>
          <w:iCs/>
          <w:snapToGrid w:val="0"/>
          <w:color w:val="auto"/>
          <w:szCs w:val="24"/>
          <w:lang w:eastAsia="zh-CN" w:bidi="en-US"/>
        </w:rPr>
        <w:t>36.77%)</w:t>
      </w:r>
      <w:r w:rsidR="00717891" w:rsidRPr="00E747A2">
        <w:rPr>
          <w:i/>
          <w:iCs/>
          <w:snapToGrid w:val="0"/>
          <w:color w:val="auto"/>
          <w:szCs w:val="24"/>
          <w:lang w:eastAsia="zh-CN" w:bidi="en-US"/>
        </w:rPr>
        <w:t xml:space="preserve">, and </w:t>
      </w:r>
      <w:r w:rsidRPr="00E747A2">
        <w:rPr>
          <w:i/>
          <w:iCs/>
          <w:snapToGrid w:val="0"/>
          <w:color w:val="auto"/>
          <w:szCs w:val="24"/>
          <w:lang w:eastAsia="zh-CN" w:bidi="en-US"/>
        </w:rPr>
        <w:t>WM</w:t>
      </w:r>
      <w:r w:rsidR="00C737FC" w:rsidRPr="00E747A2">
        <w:rPr>
          <w:i/>
          <w:iCs/>
          <w:snapToGrid w:val="0"/>
          <w:color w:val="auto"/>
          <w:szCs w:val="24"/>
          <w:lang w:eastAsia="zh-CN" w:bidi="en-US"/>
        </w:rPr>
        <w:t xml:space="preserve"> (36.95%)</w:t>
      </w:r>
      <w:r w:rsidR="00717891" w:rsidRPr="00E747A2">
        <w:rPr>
          <w:i/>
          <w:iCs/>
          <w:snapToGrid w:val="0"/>
          <w:color w:val="auto"/>
          <w:szCs w:val="24"/>
          <w:lang w:eastAsia="zh-CN" w:bidi="en-US"/>
        </w:rPr>
        <w:t xml:space="preserve">. The addition of phytase increased the </w:t>
      </w:r>
      <w:r w:rsidRPr="00E747A2">
        <w:rPr>
          <w:i/>
          <w:iCs/>
          <w:snapToGrid w:val="0"/>
          <w:color w:val="auto"/>
          <w:szCs w:val="24"/>
          <w:lang w:eastAsia="zh-CN" w:bidi="en-US"/>
        </w:rPr>
        <w:t>AA</w:t>
      </w:r>
      <w:r w:rsidR="00717891" w:rsidRPr="00E747A2">
        <w:rPr>
          <w:i/>
          <w:iCs/>
          <w:snapToGrid w:val="0"/>
          <w:color w:val="auto"/>
          <w:szCs w:val="24"/>
          <w:lang w:eastAsia="zh-CN" w:bidi="en-US"/>
        </w:rPr>
        <w:t xml:space="preserve"> or </w:t>
      </w:r>
      <w:r w:rsidRPr="00E747A2">
        <w:rPr>
          <w:i/>
          <w:iCs/>
          <w:snapToGrid w:val="0"/>
          <w:color w:val="auto"/>
          <w:szCs w:val="24"/>
          <w:lang w:eastAsia="zh-CN" w:bidi="en-US"/>
        </w:rPr>
        <w:t>TA</w:t>
      </w:r>
      <w:r w:rsidR="00717891" w:rsidRPr="00E747A2">
        <w:rPr>
          <w:i/>
          <w:iCs/>
          <w:snapToGrid w:val="0"/>
          <w:color w:val="auto"/>
          <w:szCs w:val="24"/>
          <w:lang w:eastAsia="zh-CN" w:bidi="en-US"/>
        </w:rPr>
        <w:t xml:space="preserve"> of P signific</w:t>
      </w:r>
      <w:r w:rsidR="00557A04" w:rsidRPr="00E747A2">
        <w:rPr>
          <w:i/>
          <w:iCs/>
          <w:snapToGrid w:val="0"/>
          <w:color w:val="auto"/>
          <w:szCs w:val="24"/>
          <w:lang w:eastAsia="zh-CN" w:bidi="en-US"/>
        </w:rPr>
        <w:t>antly (P&lt;0.001). Phytase had</w:t>
      </w:r>
      <w:r w:rsidR="00717891" w:rsidRPr="00E747A2">
        <w:rPr>
          <w:i/>
          <w:iCs/>
          <w:snapToGrid w:val="0"/>
          <w:color w:val="auto"/>
          <w:szCs w:val="24"/>
          <w:lang w:eastAsia="zh-CN" w:bidi="en-US"/>
        </w:rPr>
        <w:t xml:space="preserve"> greatest improvement for wheat ingredients (</w:t>
      </w:r>
      <w:r w:rsidRPr="00E747A2">
        <w:rPr>
          <w:i/>
          <w:iCs/>
          <w:snapToGrid w:val="0"/>
          <w:color w:val="auto"/>
          <w:szCs w:val="24"/>
          <w:lang w:eastAsia="zh-CN" w:bidi="en-US"/>
        </w:rPr>
        <w:t>WM</w:t>
      </w:r>
      <w:r w:rsidR="00C737FC" w:rsidRPr="00E747A2">
        <w:rPr>
          <w:i/>
          <w:iCs/>
          <w:snapToGrid w:val="0"/>
          <w:color w:val="auto"/>
          <w:szCs w:val="24"/>
          <w:lang w:eastAsia="zh-CN" w:bidi="en-US"/>
        </w:rPr>
        <w:t xml:space="preserve"> 41.35%</w:t>
      </w:r>
      <w:r w:rsidR="00717891" w:rsidRPr="00E747A2">
        <w:rPr>
          <w:i/>
          <w:iCs/>
          <w:snapToGrid w:val="0"/>
          <w:color w:val="auto"/>
          <w:szCs w:val="24"/>
          <w:lang w:eastAsia="zh-CN" w:bidi="en-US"/>
        </w:rPr>
        <w:t xml:space="preserve">; </w:t>
      </w:r>
      <w:r w:rsidRPr="00E747A2">
        <w:rPr>
          <w:i/>
          <w:iCs/>
          <w:snapToGrid w:val="0"/>
          <w:color w:val="auto"/>
          <w:szCs w:val="24"/>
          <w:lang w:eastAsia="zh-CN" w:bidi="en-US"/>
        </w:rPr>
        <w:t>WG</w:t>
      </w:r>
      <w:r w:rsidR="00C737FC" w:rsidRPr="00E747A2">
        <w:rPr>
          <w:i/>
          <w:iCs/>
          <w:snapToGrid w:val="0"/>
          <w:color w:val="auto"/>
          <w:szCs w:val="24"/>
          <w:lang w:eastAsia="zh-CN" w:bidi="en-US"/>
        </w:rPr>
        <w:t xml:space="preserve"> 41.34%</w:t>
      </w:r>
      <w:r w:rsidR="00091C3C">
        <w:rPr>
          <w:i/>
          <w:iCs/>
          <w:snapToGrid w:val="0"/>
          <w:color w:val="auto"/>
          <w:szCs w:val="24"/>
          <w:lang w:eastAsia="zh-CN" w:bidi="en-US"/>
        </w:rPr>
        <w:t xml:space="preserve">, and </w:t>
      </w:r>
      <w:r w:rsidRPr="00E747A2">
        <w:rPr>
          <w:i/>
          <w:iCs/>
          <w:snapToGrid w:val="0"/>
          <w:color w:val="auto"/>
          <w:szCs w:val="24"/>
          <w:lang w:eastAsia="zh-CN" w:bidi="en-US"/>
        </w:rPr>
        <w:t>WB</w:t>
      </w:r>
      <w:r w:rsidR="00C737FC" w:rsidRPr="00E747A2">
        <w:rPr>
          <w:i/>
          <w:iCs/>
          <w:snapToGrid w:val="0"/>
          <w:color w:val="auto"/>
          <w:szCs w:val="24"/>
          <w:lang w:eastAsia="zh-CN" w:bidi="en-US"/>
        </w:rPr>
        <w:t xml:space="preserve"> 35.94%</w:t>
      </w:r>
      <w:r w:rsidR="00717891" w:rsidRPr="00E747A2">
        <w:rPr>
          <w:i/>
          <w:iCs/>
          <w:snapToGrid w:val="0"/>
          <w:color w:val="auto"/>
          <w:szCs w:val="24"/>
          <w:lang w:eastAsia="zh-CN" w:bidi="en-US"/>
        </w:rPr>
        <w:t xml:space="preserve">) and </w:t>
      </w:r>
      <w:r w:rsidRPr="00E747A2">
        <w:rPr>
          <w:i/>
          <w:iCs/>
          <w:snapToGrid w:val="0"/>
          <w:color w:val="auto"/>
          <w:szCs w:val="24"/>
          <w:lang w:eastAsia="zh-CN" w:bidi="en-US"/>
        </w:rPr>
        <w:t>SBM</w:t>
      </w:r>
      <w:r w:rsidR="00C737FC" w:rsidRPr="00E747A2">
        <w:rPr>
          <w:i/>
          <w:iCs/>
          <w:snapToGrid w:val="0"/>
          <w:color w:val="auto"/>
          <w:szCs w:val="24"/>
          <w:lang w:eastAsia="zh-CN" w:bidi="en-US"/>
        </w:rPr>
        <w:t xml:space="preserve"> (31.52%)</w:t>
      </w:r>
      <w:r w:rsidR="00717891" w:rsidRPr="00E747A2">
        <w:rPr>
          <w:i/>
          <w:iCs/>
          <w:snapToGrid w:val="0"/>
          <w:color w:val="auto"/>
          <w:szCs w:val="24"/>
          <w:lang w:eastAsia="zh-CN" w:bidi="en-US"/>
        </w:rPr>
        <w:t xml:space="preserve">, followed by </w:t>
      </w:r>
      <w:r w:rsidRPr="00E747A2">
        <w:rPr>
          <w:i/>
          <w:iCs/>
          <w:snapToGrid w:val="0"/>
          <w:color w:val="auto"/>
          <w:szCs w:val="24"/>
          <w:lang w:eastAsia="zh-CN" w:bidi="en-US"/>
        </w:rPr>
        <w:t>CNM</w:t>
      </w:r>
      <w:r w:rsidR="00C737FC" w:rsidRPr="00E747A2">
        <w:rPr>
          <w:i/>
          <w:iCs/>
          <w:snapToGrid w:val="0"/>
          <w:color w:val="auto"/>
          <w:szCs w:val="24"/>
          <w:lang w:eastAsia="zh-CN" w:bidi="en-US"/>
        </w:rPr>
        <w:t xml:space="preserve"> (23.07%),</w:t>
      </w:r>
      <w:r w:rsidR="00717891" w:rsidRPr="00E747A2">
        <w:rPr>
          <w:i/>
          <w:iCs/>
          <w:snapToGrid w:val="0"/>
          <w:color w:val="auto"/>
          <w:szCs w:val="24"/>
          <w:lang w:eastAsia="zh-CN" w:bidi="en-US"/>
        </w:rPr>
        <w:t xml:space="preserve"> </w:t>
      </w:r>
      <w:r w:rsidRPr="00E747A2">
        <w:rPr>
          <w:i/>
          <w:iCs/>
          <w:snapToGrid w:val="0"/>
          <w:color w:val="auto"/>
          <w:szCs w:val="24"/>
          <w:lang w:eastAsia="zh-CN" w:bidi="en-US"/>
        </w:rPr>
        <w:t>PM</w:t>
      </w:r>
      <w:r w:rsidR="00717891" w:rsidRPr="00E747A2">
        <w:rPr>
          <w:i/>
          <w:iCs/>
          <w:snapToGrid w:val="0"/>
          <w:color w:val="auto"/>
          <w:szCs w:val="24"/>
          <w:lang w:eastAsia="zh-CN" w:bidi="en-US"/>
        </w:rPr>
        <w:t xml:space="preserve"> </w:t>
      </w:r>
      <w:r w:rsidR="00C737FC" w:rsidRPr="00E747A2">
        <w:rPr>
          <w:i/>
          <w:iCs/>
          <w:snapToGrid w:val="0"/>
          <w:color w:val="auto"/>
          <w:szCs w:val="24"/>
          <w:lang w:eastAsia="zh-CN" w:bidi="en-US"/>
        </w:rPr>
        <w:t>(11.51%)</w:t>
      </w:r>
      <w:r w:rsidR="004C1523" w:rsidRPr="00E747A2">
        <w:rPr>
          <w:i/>
          <w:iCs/>
          <w:snapToGrid w:val="0"/>
          <w:color w:val="auto"/>
          <w:szCs w:val="24"/>
          <w:lang w:eastAsia="zh-CN" w:bidi="en-US"/>
        </w:rPr>
        <w:t>,</w:t>
      </w:r>
      <w:r w:rsidR="00C737FC" w:rsidRPr="00E747A2">
        <w:rPr>
          <w:i/>
          <w:iCs/>
          <w:snapToGrid w:val="0"/>
          <w:color w:val="auto"/>
          <w:szCs w:val="24"/>
          <w:lang w:eastAsia="zh-CN" w:bidi="en-US"/>
        </w:rPr>
        <w:t xml:space="preserve"> </w:t>
      </w:r>
      <w:r w:rsidR="00717891" w:rsidRPr="00E747A2">
        <w:rPr>
          <w:i/>
          <w:iCs/>
          <w:snapToGrid w:val="0"/>
          <w:color w:val="auto"/>
          <w:szCs w:val="24"/>
          <w:lang w:eastAsia="zh-CN" w:bidi="en-US"/>
        </w:rPr>
        <w:t>and corn DDGS</w:t>
      </w:r>
      <w:r w:rsidR="00C737FC" w:rsidRPr="00E747A2">
        <w:rPr>
          <w:i/>
          <w:iCs/>
          <w:snapToGrid w:val="0"/>
          <w:color w:val="auto"/>
          <w:szCs w:val="24"/>
          <w:lang w:eastAsia="zh-CN" w:bidi="en-US"/>
        </w:rPr>
        <w:t xml:space="preserve"> (10.23%)</w:t>
      </w:r>
      <w:r w:rsidR="00717891" w:rsidRPr="00E747A2">
        <w:rPr>
          <w:i/>
          <w:iCs/>
          <w:snapToGrid w:val="0"/>
          <w:color w:val="auto"/>
          <w:szCs w:val="24"/>
          <w:lang w:eastAsia="zh-CN" w:bidi="en-US"/>
        </w:rPr>
        <w:t>.</w:t>
      </w:r>
      <w:r w:rsidR="00717891" w:rsidRPr="00E747A2">
        <w:rPr>
          <w:i/>
          <w:iCs/>
          <w:color w:val="auto"/>
          <w:szCs w:val="24"/>
          <w:lang w:eastAsia="zh-CN"/>
        </w:rPr>
        <w:t xml:space="preserve"> </w:t>
      </w:r>
      <w:r w:rsidR="00F51ABD" w:rsidRPr="00E747A2">
        <w:rPr>
          <w:i/>
          <w:iCs/>
          <w:snapToGrid w:val="0"/>
          <w:color w:val="auto"/>
          <w:szCs w:val="24"/>
          <w:lang w:eastAsia="zh-CN" w:bidi="en-US"/>
        </w:rPr>
        <w:t>Appli</w:t>
      </w:r>
      <w:r w:rsidR="000323E7" w:rsidRPr="00E747A2">
        <w:rPr>
          <w:i/>
          <w:iCs/>
          <w:snapToGrid w:val="0"/>
          <w:color w:val="auto"/>
          <w:szCs w:val="24"/>
          <w:lang w:eastAsia="zh-CN" w:bidi="en-US"/>
        </w:rPr>
        <w:t>cation of phytase and formulation</w:t>
      </w:r>
      <w:r w:rsidR="00F51ABD" w:rsidRPr="00E747A2">
        <w:rPr>
          <w:i/>
          <w:iCs/>
          <w:snapToGrid w:val="0"/>
          <w:color w:val="auto"/>
          <w:szCs w:val="24"/>
          <w:lang w:eastAsia="zh-CN" w:bidi="en-US"/>
        </w:rPr>
        <w:t xml:space="preserve"> of broiler diets based on the true P </w:t>
      </w:r>
      <w:r w:rsidR="00FC6DF7" w:rsidRPr="00E747A2">
        <w:rPr>
          <w:i/>
          <w:iCs/>
          <w:snapToGrid w:val="0"/>
          <w:color w:val="auto"/>
          <w:szCs w:val="24"/>
          <w:lang w:eastAsia="zh-CN" w:bidi="en-US"/>
        </w:rPr>
        <w:t>availability</w:t>
      </w:r>
      <w:r w:rsidR="006A4ED6" w:rsidRPr="00E747A2">
        <w:rPr>
          <w:i/>
          <w:iCs/>
          <w:snapToGrid w:val="0"/>
          <w:color w:val="auto"/>
          <w:szCs w:val="24"/>
          <w:lang w:eastAsia="zh-CN" w:bidi="en-US"/>
        </w:rPr>
        <w:t xml:space="preserve"> can </w:t>
      </w:r>
      <w:r w:rsidR="00F51ABD" w:rsidRPr="00E747A2">
        <w:rPr>
          <w:i/>
          <w:iCs/>
          <w:snapToGrid w:val="0"/>
          <w:color w:val="auto"/>
          <w:szCs w:val="24"/>
          <w:lang w:eastAsia="zh-CN" w:bidi="en-US"/>
        </w:rPr>
        <w:t>reasonably</w:t>
      </w:r>
      <w:r w:rsidR="00091C3C">
        <w:rPr>
          <w:i/>
          <w:iCs/>
          <w:snapToGrid w:val="0"/>
          <w:color w:val="auto"/>
          <w:szCs w:val="24"/>
          <w:lang w:eastAsia="zh-CN" w:bidi="en-US"/>
        </w:rPr>
        <w:t xml:space="preserve"> help to</w:t>
      </w:r>
      <w:r w:rsidR="00F51ABD" w:rsidRPr="00E747A2">
        <w:rPr>
          <w:i/>
          <w:iCs/>
          <w:snapToGrid w:val="0"/>
          <w:color w:val="auto"/>
          <w:szCs w:val="24"/>
          <w:lang w:eastAsia="zh-CN" w:bidi="en-US"/>
        </w:rPr>
        <w:t xml:space="preserve"> </w:t>
      </w:r>
      <w:r w:rsidR="00C97375">
        <w:rPr>
          <w:i/>
          <w:iCs/>
          <w:snapToGrid w:val="0"/>
          <w:color w:val="auto"/>
          <w:szCs w:val="24"/>
          <w:lang w:eastAsia="zh-CN" w:bidi="en-US"/>
        </w:rPr>
        <w:t>utilize</w:t>
      </w:r>
      <w:r w:rsidR="00C52080">
        <w:rPr>
          <w:i/>
          <w:iCs/>
          <w:snapToGrid w:val="0"/>
          <w:color w:val="auto"/>
          <w:szCs w:val="24"/>
          <w:lang w:eastAsia="zh-CN" w:bidi="en-US"/>
        </w:rPr>
        <w:t xml:space="preserve"> </w:t>
      </w:r>
      <w:r w:rsidR="00F51ABD" w:rsidRPr="00E747A2">
        <w:rPr>
          <w:i/>
          <w:iCs/>
          <w:snapToGrid w:val="0"/>
          <w:color w:val="auto"/>
          <w:szCs w:val="24"/>
          <w:lang w:eastAsia="zh-CN" w:bidi="en-US"/>
        </w:rPr>
        <w:t xml:space="preserve">phosphorus resources </w:t>
      </w:r>
      <w:r w:rsidR="00091C3C">
        <w:rPr>
          <w:i/>
          <w:iCs/>
          <w:snapToGrid w:val="0"/>
          <w:color w:val="auto"/>
          <w:szCs w:val="24"/>
          <w:lang w:eastAsia="zh-CN" w:bidi="en-US"/>
        </w:rPr>
        <w:t>for reducing</w:t>
      </w:r>
      <w:r w:rsidR="00F51ABD" w:rsidRPr="00E747A2">
        <w:rPr>
          <w:i/>
          <w:iCs/>
          <w:snapToGrid w:val="0"/>
          <w:color w:val="auto"/>
          <w:szCs w:val="24"/>
          <w:lang w:eastAsia="zh-CN" w:bidi="en-US"/>
        </w:rPr>
        <w:t xml:space="preserve"> feed costs and minimize environmental pollution.</w:t>
      </w:r>
    </w:p>
    <w:p w:rsidR="00717891" w:rsidRPr="00E747A2" w:rsidRDefault="00717891" w:rsidP="00840AC3">
      <w:pPr>
        <w:spacing w:line="360" w:lineRule="auto"/>
        <w:rPr>
          <w:i/>
          <w:iCs/>
          <w:snapToGrid w:val="0"/>
          <w:color w:val="auto"/>
          <w:szCs w:val="24"/>
          <w:lang w:eastAsia="zh-CN" w:bidi="en-US"/>
        </w:rPr>
      </w:pPr>
      <w:r w:rsidRPr="00E747A2">
        <w:rPr>
          <w:b/>
          <w:bCs/>
          <w:i/>
          <w:iCs/>
          <w:snapToGrid w:val="0"/>
          <w:color w:val="auto"/>
          <w:szCs w:val="24"/>
          <w:lang w:eastAsia="zh-CN" w:bidi="en-US"/>
        </w:rPr>
        <w:t>Keywords:</w:t>
      </w:r>
      <w:r w:rsidRPr="00E747A2">
        <w:rPr>
          <w:i/>
          <w:iCs/>
          <w:snapToGrid w:val="0"/>
          <w:color w:val="auto"/>
          <w:szCs w:val="24"/>
          <w:lang w:eastAsia="zh-CN" w:bidi="en-US"/>
        </w:rPr>
        <w:t xml:space="preserve"> feedstuff; availability; phosphorus; </w:t>
      </w:r>
      <w:r w:rsidR="000E696E">
        <w:rPr>
          <w:i/>
          <w:iCs/>
          <w:snapToGrid w:val="0"/>
          <w:color w:val="auto"/>
          <w:szCs w:val="24"/>
          <w:lang w:eastAsia="zh-CN" w:bidi="en-US"/>
        </w:rPr>
        <w:t xml:space="preserve">microbial </w:t>
      </w:r>
      <w:r w:rsidRPr="00E747A2">
        <w:rPr>
          <w:i/>
          <w:iCs/>
          <w:snapToGrid w:val="0"/>
          <w:color w:val="auto"/>
          <w:szCs w:val="24"/>
          <w:lang w:eastAsia="zh-CN" w:bidi="en-US"/>
        </w:rPr>
        <w:t>phytase; broiler chickens</w:t>
      </w:r>
    </w:p>
    <w:p w:rsidR="00840AC3" w:rsidRPr="00E747A2" w:rsidRDefault="00840AC3">
      <w:pPr>
        <w:spacing w:line="240" w:lineRule="auto"/>
        <w:jc w:val="left"/>
        <w:rPr>
          <w:rFonts w:eastAsiaTheme="majorEastAsia"/>
          <w:b/>
          <w:bCs/>
          <w:color w:val="auto"/>
          <w:szCs w:val="24"/>
        </w:rPr>
      </w:pPr>
    </w:p>
    <w:p w:rsidR="00E92783" w:rsidRPr="00E747A2" w:rsidRDefault="005E0E2B" w:rsidP="004E3AE2">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r w:rsidRPr="00E747A2">
        <w:rPr>
          <w:rFonts w:ascii="Times New Roman" w:hAnsi="Times New Roman" w:cs="Times New Roman"/>
          <w:color w:val="auto"/>
          <w:sz w:val="24"/>
          <w:szCs w:val="24"/>
        </w:rPr>
        <w:t>Introduction</w:t>
      </w:r>
    </w:p>
    <w:p w:rsidR="00717891" w:rsidRPr="00E747A2" w:rsidRDefault="00717891" w:rsidP="00A26AD1">
      <w:pPr>
        <w:pStyle w:val="MDPI31text"/>
        <w:spacing w:line="480" w:lineRule="auto"/>
        <w:ind w:firstLine="0"/>
        <w:rPr>
          <w:rFonts w:ascii="Times New Roman" w:hAnsi="Times New Roman"/>
          <w:color w:val="auto"/>
          <w:sz w:val="24"/>
          <w:szCs w:val="24"/>
        </w:rPr>
      </w:pPr>
      <w:bookmarkStart w:id="0" w:name="OLE_LINK1"/>
      <w:bookmarkStart w:id="1" w:name="OLE_LINK2"/>
      <w:r w:rsidRPr="00E747A2">
        <w:rPr>
          <w:rFonts w:ascii="Times New Roman" w:hAnsi="Times New Roman"/>
          <w:color w:val="auto"/>
          <w:sz w:val="24"/>
          <w:szCs w:val="24"/>
        </w:rPr>
        <w:t xml:space="preserve">Phosphorus (P) is a necessary nutrient for animals. Most of the body’s </w:t>
      </w:r>
      <w:r w:rsidR="00856BFF">
        <w:rPr>
          <w:rFonts w:ascii="Times New Roman" w:hAnsi="Times New Roman"/>
          <w:color w:val="auto"/>
          <w:sz w:val="24"/>
          <w:szCs w:val="24"/>
        </w:rPr>
        <w:t>P</w:t>
      </w:r>
      <w:r w:rsidRPr="00E747A2">
        <w:rPr>
          <w:rFonts w:ascii="Times New Roman" w:hAnsi="Times New Roman"/>
          <w:color w:val="auto"/>
          <w:sz w:val="24"/>
          <w:szCs w:val="24"/>
        </w:rPr>
        <w:t xml:space="preserve"> is stored in bones in the form of phosphate. A small part of P is distributed in cells and body fluids </w:t>
      </w:r>
      <w:r w:rsidR="00F51ABD" w:rsidRPr="00E747A2">
        <w:rPr>
          <w:rFonts w:ascii="Times New Roman" w:hAnsi="Times New Roman"/>
          <w:color w:val="auto"/>
          <w:sz w:val="24"/>
          <w:szCs w:val="24"/>
        </w:rPr>
        <w:t>which</w:t>
      </w:r>
      <w:r w:rsidRPr="00E747A2">
        <w:rPr>
          <w:rFonts w:ascii="Times New Roman" w:hAnsi="Times New Roman"/>
          <w:color w:val="auto"/>
          <w:sz w:val="24"/>
          <w:szCs w:val="24"/>
        </w:rPr>
        <w:t xml:space="preserve"> plays crucial roles in cellular metabolism, the integrity of cellular membranes, and electrolyte balan</w:t>
      </w:r>
      <w:r w:rsidR="00AF6A67" w:rsidRPr="00E747A2">
        <w:rPr>
          <w:rFonts w:ascii="Times New Roman" w:hAnsi="Times New Roman"/>
          <w:color w:val="auto"/>
          <w:sz w:val="24"/>
          <w:szCs w:val="24"/>
        </w:rPr>
        <w:t>ce</w:t>
      </w:r>
      <w:r w:rsidR="00621925" w:rsidRPr="00E747A2">
        <w:rPr>
          <w:rFonts w:ascii="Times New Roman" w:hAnsi="Times New Roman"/>
          <w:color w:val="auto"/>
          <w:sz w:val="24"/>
          <w:szCs w:val="24"/>
        </w:rPr>
        <w:t xml:space="preserve"> </w:t>
      </w:r>
      <w:r w:rsidR="00382493" w:rsidRPr="00E747A2">
        <w:rPr>
          <w:rFonts w:ascii="Times New Roman" w:hAnsi="Times New Roman"/>
          <w:color w:val="auto"/>
          <w:sz w:val="24"/>
          <w:szCs w:val="24"/>
        </w:rPr>
        <w:fldChar w:fldCharType="begin" w:fldLock="1"/>
      </w:r>
      <w:r w:rsidR="000877D7">
        <w:rPr>
          <w:rFonts w:ascii="Times New Roman" w:hAnsi="Times New Roman"/>
          <w:color w:val="auto"/>
          <w:sz w:val="24"/>
          <w:szCs w:val="24"/>
        </w:rPr>
        <w:instrText>ADDIN CSL_CITATION {"citationItems":[{"id":"ITEM-1","itemData":{"ISBN":"9781845936266","author":[{"dropping-particle":"","family":"Veum","given":"T L","non-dropping-particle":"","parse-names":false,"suffix":""}],"container-title":"Phosphorus and calcium utilization and requierments in farm animals","editor":[{"dropping-particle":"","family":"D.M.S.S","given":"Vitti","non-dropping-particle":"","parse-names":false,"suffix":""},{"dropping-particle":"","family":"E.","given":"Kebreab.","non-dropping-particle":"","parse-names":false,"suffix":""}],"id":"ITEM-1","issued":{"date-parts":[["2010"]]},"page":"94-111","publisher":"CAB International , Oxfordshire, UK.","title":"Phosphorus and calcium nutrition and metabolism","type":"chapter"},"uris":["http://www.mendeley.com/documents/?uuid=0d20fb1f-1b93-4569-ae38-9e253fa3bf6d"]}],"mendeley":{"formattedCitation":"(Veum 2010)","plainTextFormattedCitation":"(Veum 2010)","previouslyFormattedCitation":"(Veum, 2010)"},"properties":{"noteIndex":0},"schema":"https://github.com/citation-style-language/schema/raw/master/csl-citation.json"}</w:instrText>
      </w:r>
      <w:r w:rsidR="00382493" w:rsidRPr="00E747A2">
        <w:rPr>
          <w:rFonts w:ascii="Times New Roman" w:hAnsi="Times New Roman"/>
          <w:color w:val="auto"/>
          <w:sz w:val="24"/>
          <w:szCs w:val="24"/>
        </w:rPr>
        <w:fldChar w:fldCharType="separate"/>
      </w:r>
      <w:r w:rsidR="000877D7" w:rsidRPr="000877D7">
        <w:rPr>
          <w:rFonts w:ascii="Times New Roman" w:hAnsi="Times New Roman"/>
          <w:noProof/>
          <w:color w:val="auto"/>
          <w:sz w:val="24"/>
          <w:szCs w:val="24"/>
        </w:rPr>
        <w:t>(Veum 2010)</w:t>
      </w:r>
      <w:r w:rsidR="00382493" w:rsidRPr="00E747A2">
        <w:rPr>
          <w:rFonts w:ascii="Times New Roman" w:hAnsi="Times New Roman"/>
          <w:color w:val="auto"/>
          <w:sz w:val="24"/>
          <w:szCs w:val="24"/>
        </w:rPr>
        <w:fldChar w:fldCharType="end"/>
      </w:r>
      <w:r w:rsidR="00AF6A67" w:rsidRPr="00E747A2">
        <w:rPr>
          <w:rFonts w:ascii="Times New Roman" w:hAnsi="Times New Roman"/>
          <w:color w:val="auto"/>
          <w:sz w:val="24"/>
          <w:szCs w:val="24"/>
        </w:rPr>
        <w:t>. Lack of P could retard</w:t>
      </w:r>
      <w:r w:rsidRPr="00E747A2">
        <w:rPr>
          <w:rFonts w:ascii="Times New Roman" w:hAnsi="Times New Roman"/>
          <w:color w:val="auto"/>
          <w:sz w:val="24"/>
          <w:szCs w:val="24"/>
        </w:rPr>
        <w:t xml:space="preserve"> t</w:t>
      </w:r>
      <w:r w:rsidR="00AF6A67" w:rsidRPr="00E747A2">
        <w:rPr>
          <w:rFonts w:ascii="Times New Roman" w:hAnsi="Times New Roman"/>
          <w:color w:val="auto"/>
          <w:sz w:val="24"/>
          <w:szCs w:val="24"/>
        </w:rPr>
        <w:t>he development of bone, induce joint deformity, reduce appetite, and restrain</w:t>
      </w:r>
      <w:r w:rsidRPr="00E747A2">
        <w:rPr>
          <w:rFonts w:ascii="Times New Roman" w:hAnsi="Times New Roman"/>
          <w:color w:val="auto"/>
          <w:sz w:val="24"/>
          <w:szCs w:val="24"/>
        </w:rPr>
        <w:t xml:space="preserve"> </w:t>
      </w:r>
      <w:r w:rsidR="004C1523" w:rsidRPr="00E747A2">
        <w:rPr>
          <w:rFonts w:ascii="Times New Roman" w:hAnsi="Times New Roman"/>
          <w:color w:val="auto"/>
          <w:sz w:val="24"/>
          <w:szCs w:val="24"/>
        </w:rPr>
        <w:t xml:space="preserve">the </w:t>
      </w:r>
      <w:r w:rsidR="00E76899" w:rsidRPr="00E747A2">
        <w:rPr>
          <w:rFonts w:ascii="Times New Roman" w:hAnsi="Times New Roman"/>
          <w:color w:val="auto"/>
          <w:sz w:val="24"/>
          <w:szCs w:val="24"/>
        </w:rPr>
        <w:t xml:space="preserve">growth of growing </w:t>
      </w:r>
      <w:r w:rsidR="007B4E2E" w:rsidRPr="00E747A2">
        <w:rPr>
          <w:rFonts w:ascii="Times New Roman" w:hAnsi="Times New Roman"/>
          <w:color w:val="auto"/>
          <w:sz w:val="24"/>
          <w:szCs w:val="24"/>
        </w:rPr>
        <w:t>poultry</w:t>
      </w:r>
      <w:r w:rsidR="00E76899" w:rsidRPr="00E747A2">
        <w:rPr>
          <w:rFonts w:ascii="Times New Roman" w:hAnsi="Times New Roman"/>
          <w:color w:val="auto"/>
          <w:sz w:val="24"/>
          <w:szCs w:val="24"/>
        </w:rPr>
        <w:t xml:space="preserve"> </w:t>
      </w:r>
      <w:r w:rsidR="00382493" w:rsidRPr="00E747A2">
        <w:rPr>
          <w:rFonts w:ascii="Times New Roman" w:hAnsi="Times New Roman"/>
          <w:color w:val="auto"/>
          <w:sz w:val="24"/>
          <w:szCs w:val="24"/>
        </w:rPr>
        <w:fldChar w:fldCharType="begin" w:fldLock="1"/>
      </w:r>
      <w:r w:rsidR="000877D7">
        <w:rPr>
          <w:rFonts w:ascii="Times New Roman" w:hAnsi="Times New Roman"/>
          <w:color w:val="auto"/>
          <w:sz w:val="24"/>
          <w:szCs w:val="24"/>
        </w:rPr>
        <w:instrText>ADDIN CSL_CITATION {"citationItems":[{"id":"ITEM-1","itemData":{"DOI":"https://doi.org/10.17226/2114","abstract":"Description This classic reference for poultry nutrition has been updated for the first time since 1984. The chapter on general considerations concerning individual nutrients and water has been greatly expanded and includes, for the first time, equations for predicting the energy value of individual feed ingredients from their proximate composition. This volume includes the latest information on the nutrient requirements of meat- and egg-type chickens, incorporating data on brown-egg strains, turkeys, geese, ducks, pheasants, Japanese quail, and Bobwhite quail. This publication also contains new appendix tables that document in detail the scientific information used to derive the nutrient requirements appearing in the summary tables for each species of bird. OVERVIEW COMPONENTS OF POULTRY DIETS Energy Carbohydrates Protein and Amino Acids Fats Minerals Vitamins Water Xanthophylls Unidentified Growth Factors Antimicrobials NUTRIENT REQUIREMENTS OF CHICKENS Leghorn-Type Chickens Meat-Type Chickens NUTRIENT REQUIREMENTS OF TURKEYS Starting and Growing Turkeys Turkey Breeders NUTRIENT REQUIREMENTS OF GEESE NUTRIENT REQUIREMENTS OF DUCKS NUTRIENT REQUIREMENTS OF RING-NECKED PHEASANTS JAPANESE QUAIL, AND BOBWHITE QUAIL Ring-Necked Pheasants Japanese Quail Bobwhite Quail SIGNS OF NUTRITIONAL DEFICIENCIES IN CHICKENS AND TURKEYS Protein and Amino Acid Deficiencies Vitamin Deficiencies Mineral Deficiencies COMPOSITION OF FEEDSTUFFS USED IN POULTRY DIETS Cereal Grains Protein Supplements Estimating the Amino Acid Composition of Feedstuffs Characteristics of Dietary Fats Macromineral Supplements Mycotoxins STANDARD REFERENCE DIETS FOR CHICKS APPENDIXES A Documentation of Nutrient Requirements B Estimating the Energy Value of Feed Ingredients C Conversion Factors REFERENCES AUTHORS INDEX","author":[{"dropping-particle":"","family":"NRC","given":"","non-dropping-particle":"","parse-names":false,"suffix":""}],"id":"ITEM-1","issued":{"date-parts":[["1994"]]},"publisher":"Ninth Revised Edition, National Academy Press, Washington, D.C.USA","title":"Nutrient requirements of poultry","type":"book"},"uris":["http://www.mendeley.com/documents/?uuid=b878e815-52a5-428d-b33b-5bf303630143"]}],"mendeley":{"formattedCitation":"(NRC 1994)","plainTextFormattedCitation":"(NRC 1994)","previouslyFormattedCitation":"(NRC, 1994)"},"properties":{"noteIndex":0},"schema":"https://github.com/citation-style-language/schema/raw/master/csl-citation.json"}</w:instrText>
      </w:r>
      <w:r w:rsidR="00382493" w:rsidRPr="00E747A2">
        <w:rPr>
          <w:rFonts w:ascii="Times New Roman" w:hAnsi="Times New Roman"/>
          <w:color w:val="auto"/>
          <w:sz w:val="24"/>
          <w:szCs w:val="24"/>
        </w:rPr>
        <w:fldChar w:fldCharType="separate"/>
      </w:r>
      <w:r w:rsidR="000877D7" w:rsidRPr="000877D7">
        <w:rPr>
          <w:rFonts w:ascii="Times New Roman" w:hAnsi="Times New Roman"/>
          <w:noProof/>
          <w:color w:val="auto"/>
          <w:sz w:val="24"/>
          <w:szCs w:val="24"/>
        </w:rPr>
        <w:t>(NRC 1994)</w:t>
      </w:r>
      <w:r w:rsidR="00382493" w:rsidRPr="00E747A2">
        <w:rPr>
          <w:rFonts w:ascii="Times New Roman" w:hAnsi="Times New Roman"/>
          <w:color w:val="auto"/>
          <w:sz w:val="24"/>
          <w:szCs w:val="24"/>
        </w:rPr>
        <w:fldChar w:fldCharType="end"/>
      </w:r>
      <w:r w:rsidRPr="00E747A2">
        <w:rPr>
          <w:rFonts w:ascii="Times New Roman" w:hAnsi="Times New Roman"/>
          <w:color w:val="auto"/>
          <w:sz w:val="24"/>
          <w:szCs w:val="24"/>
        </w:rPr>
        <w:t xml:space="preserve">. In general, feed is the sole source of P for animal and the commercial feed could provide adequate or even excessive amounts of P to meet the animal’s requirements. However, in recent decades, the public pays more attention to the remarkable negative impact of excessive dietary P on </w:t>
      </w:r>
      <w:r w:rsidR="00AF6A67" w:rsidRPr="00E747A2">
        <w:rPr>
          <w:rFonts w:ascii="Times New Roman" w:hAnsi="Times New Roman"/>
          <w:color w:val="auto"/>
          <w:sz w:val="24"/>
          <w:szCs w:val="24"/>
        </w:rPr>
        <w:t xml:space="preserve">the </w:t>
      </w:r>
      <w:r w:rsidRPr="00E747A2">
        <w:rPr>
          <w:rFonts w:ascii="Times New Roman" w:hAnsi="Times New Roman"/>
          <w:color w:val="auto"/>
          <w:sz w:val="24"/>
          <w:szCs w:val="24"/>
        </w:rPr>
        <w:t xml:space="preserve">environment and non-renewal of inorganic P resources. As a result, concerned </w:t>
      </w:r>
      <w:r w:rsidR="004C1523" w:rsidRPr="00E747A2">
        <w:rPr>
          <w:rFonts w:ascii="Times New Roman" w:hAnsi="Times New Roman"/>
          <w:color w:val="auto"/>
          <w:sz w:val="24"/>
          <w:szCs w:val="24"/>
        </w:rPr>
        <w:t>about</w:t>
      </w:r>
      <w:r w:rsidRPr="00E747A2">
        <w:rPr>
          <w:rFonts w:ascii="Times New Roman" w:hAnsi="Times New Roman"/>
          <w:color w:val="auto"/>
          <w:sz w:val="24"/>
          <w:szCs w:val="24"/>
        </w:rPr>
        <w:t xml:space="preserve"> </w:t>
      </w:r>
      <w:r w:rsidR="005C7A44" w:rsidRPr="00E747A2">
        <w:rPr>
          <w:rFonts w:ascii="Times New Roman" w:hAnsi="Times New Roman"/>
          <w:color w:val="auto"/>
          <w:sz w:val="24"/>
          <w:szCs w:val="24"/>
        </w:rPr>
        <w:t xml:space="preserve">the </w:t>
      </w:r>
      <w:r w:rsidR="00AF6A67" w:rsidRPr="00E747A2">
        <w:rPr>
          <w:rFonts w:ascii="Times New Roman" w:hAnsi="Times New Roman"/>
          <w:color w:val="auto"/>
          <w:sz w:val="24"/>
          <w:szCs w:val="24"/>
        </w:rPr>
        <w:t>efficient and precise utilization of P from the plant ingredients</w:t>
      </w:r>
      <w:r w:rsidR="00856BFF">
        <w:rPr>
          <w:rFonts w:ascii="Times New Roman" w:hAnsi="Times New Roman"/>
          <w:color w:val="auto"/>
          <w:sz w:val="24"/>
          <w:szCs w:val="24"/>
        </w:rPr>
        <w:t xml:space="preserve"> has been increasing</w:t>
      </w:r>
      <w:r w:rsidR="005C7A44" w:rsidRPr="00E747A2">
        <w:rPr>
          <w:rFonts w:ascii="Times New Roman" w:hAnsi="Times New Roman"/>
          <w:color w:val="auto"/>
          <w:sz w:val="24"/>
          <w:szCs w:val="24"/>
        </w:rPr>
        <w:t>. Therefore</w:t>
      </w:r>
      <w:r w:rsidRPr="00E747A2">
        <w:rPr>
          <w:rFonts w:ascii="Times New Roman" w:hAnsi="Times New Roman"/>
          <w:color w:val="auto"/>
          <w:sz w:val="24"/>
          <w:szCs w:val="24"/>
        </w:rPr>
        <w:t xml:space="preserve">, assessment of utilization efficiency of P in feedstuffs </w:t>
      </w:r>
      <w:r w:rsidR="00856BFF">
        <w:rPr>
          <w:rFonts w:ascii="Times New Roman" w:hAnsi="Times New Roman"/>
          <w:color w:val="auto"/>
          <w:sz w:val="24"/>
          <w:szCs w:val="24"/>
        </w:rPr>
        <w:t xml:space="preserve">has become </w:t>
      </w:r>
      <w:r w:rsidRPr="00E747A2">
        <w:rPr>
          <w:rFonts w:ascii="Times New Roman" w:hAnsi="Times New Roman"/>
          <w:color w:val="auto"/>
          <w:sz w:val="24"/>
          <w:szCs w:val="24"/>
        </w:rPr>
        <w:t>the basis of the whole strategy for optimizing dietary P nutrition of animals.</w:t>
      </w:r>
    </w:p>
    <w:p w:rsidR="0099365D" w:rsidRPr="00E747A2" w:rsidRDefault="00AF6A67" w:rsidP="00A26AD1">
      <w:pPr>
        <w:pStyle w:val="MDPI31text"/>
        <w:spacing w:line="480" w:lineRule="auto"/>
        <w:rPr>
          <w:rFonts w:ascii="Times New Roman" w:hAnsi="Times New Roman"/>
          <w:color w:val="auto"/>
          <w:sz w:val="24"/>
          <w:szCs w:val="24"/>
          <w:lang w:eastAsia="zh-CN"/>
        </w:rPr>
      </w:pPr>
      <w:r w:rsidRPr="00E747A2">
        <w:rPr>
          <w:rFonts w:ascii="Times New Roman" w:hAnsi="Times New Roman"/>
          <w:color w:val="auto"/>
          <w:sz w:val="24"/>
          <w:szCs w:val="24"/>
          <w:lang w:eastAsia="zh-CN"/>
        </w:rPr>
        <w:t>M</w:t>
      </w:r>
      <w:r w:rsidR="0099365D" w:rsidRPr="00E747A2">
        <w:rPr>
          <w:rFonts w:ascii="Times New Roman" w:hAnsi="Times New Roman"/>
          <w:color w:val="auto"/>
          <w:sz w:val="24"/>
          <w:szCs w:val="24"/>
          <w:lang w:eastAsia="zh-CN"/>
        </w:rPr>
        <w:t xml:space="preserve">ost of </w:t>
      </w:r>
      <w:r w:rsidR="00D4444C"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 xml:space="preserve">phosphorus in plant feedstuffs exists in the form of phytate P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author":[{"dropping-particle":"","family":"Ravindran","given":"V","non-dropping-particle":"","parse-names":false,"suffix":""},{"dropping-particle":"","family":"Ravindran","given":"G","non-dropping-particle":"","parse-names":false,"suffix":""},{"dropping-particle":"","family":"Sivalogan","given":"S","non-dropping-particle":"","parse-names":false,"suffix":""}],"container-title":"Food Chemistry","id":"ITEM-1","issued":{"date-parts":[["1994"]]},"page":"133-136","title":"Total and phytate phosphorus contents of various foods and feedstuffs of plant origin","type":"article-journal","volume":"50"},"uris":["http://www.mendeley.com/documents/?uuid=da4e4f41-16bb-4d98-a9bb-75fcf0aeed36"]}],"mendeley":{"formattedCitation":"(Ravindran, Ravindran, and Sivalogan 1994)","manualFormatting":"(Ravindran et al., 1994)","plainTextFormattedCitation":"(Ravindran, Ravindran, and Sivalogan 1994)","previouslyFormattedCitation":"(Ravindran et al., 1994)"},"properties":{"noteIndex":0},"schema":"https://github.com/citation-style-language/schema/raw/master/csl-citation.json"}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AB3728" w:rsidRPr="00E747A2">
        <w:rPr>
          <w:rFonts w:ascii="Times New Roman" w:hAnsi="Times New Roman"/>
          <w:noProof/>
          <w:color w:val="auto"/>
          <w:sz w:val="24"/>
          <w:szCs w:val="24"/>
          <w:lang w:eastAsia="zh-CN"/>
        </w:rPr>
        <w:t>(R</w:t>
      </w:r>
      <w:r w:rsidR="00AF3B8B" w:rsidRPr="00E747A2">
        <w:rPr>
          <w:rFonts w:ascii="Times New Roman" w:hAnsi="Times New Roman"/>
          <w:noProof/>
          <w:color w:val="auto"/>
          <w:sz w:val="24"/>
          <w:szCs w:val="24"/>
          <w:lang w:eastAsia="zh-CN"/>
        </w:rPr>
        <w:t>avindran</w:t>
      </w:r>
      <w:r w:rsidR="000C5804" w:rsidRPr="00E747A2">
        <w:rPr>
          <w:rFonts w:ascii="Times New Roman" w:hAnsi="Times New Roman"/>
          <w:noProof/>
          <w:color w:val="auto"/>
          <w:sz w:val="24"/>
          <w:szCs w:val="24"/>
          <w:lang w:eastAsia="zh-CN"/>
        </w:rPr>
        <w:t xml:space="preserve"> et al.</w:t>
      </w:r>
      <w:r w:rsidR="00AB3728" w:rsidRPr="00E747A2">
        <w:rPr>
          <w:rFonts w:ascii="Times New Roman" w:hAnsi="Times New Roman"/>
          <w:noProof/>
          <w:color w:val="auto"/>
          <w:sz w:val="24"/>
          <w:szCs w:val="24"/>
          <w:lang w:eastAsia="zh-CN"/>
        </w:rPr>
        <w:t>, 1994)</w:t>
      </w:r>
      <w:r w:rsidR="00382493" w:rsidRPr="00E747A2">
        <w:rPr>
          <w:rFonts w:ascii="Times New Roman" w:hAnsi="Times New Roman"/>
          <w:color w:val="auto"/>
          <w:sz w:val="24"/>
          <w:szCs w:val="24"/>
          <w:lang w:eastAsia="zh-CN"/>
        </w:rPr>
        <w:fldChar w:fldCharType="end"/>
      </w:r>
      <w:r w:rsidR="0099365D" w:rsidRPr="00E747A2">
        <w:rPr>
          <w:rFonts w:ascii="Times New Roman" w:hAnsi="Times New Roman"/>
          <w:color w:val="auto"/>
          <w:sz w:val="24"/>
          <w:szCs w:val="24"/>
          <w:lang w:eastAsia="zh-CN"/>
        </w:rPr>
        <w:t>, and non-ruminant animals lack eno</w:t>
      </w:r>
      <w:r w:rsidR="004C1523" w:rsidRPr="00E747A2">
        <w:rPr>
          <w:rFonts w:ascii="Times New Roman" w:hAnsi="Times New Roman"/>
          <w:color w:val="auto"/>
          <w:sz w:val="24"/>
          <w:szCs w:val="24"/>
          <w:lang w:eastAsia="zh-CN"/>
        </w:rPr>
        <w:t>ugh endogenous phytase activity</w:t>
      </w:r>
      <w:r w:rsidR="0099365D" w:rsidRPr="00E747A2">
        <w:rPr>
          <w:rFonts w:ascii="Times New Roman" w:hAnsi="Times New Roman"/>
          <w:color w:val="auto"/>
          <w:sz w:val="24"/>
          <w:szCs w:val="24"/>
          <w:lang w:eastAsia="zh-CN"/>
        </w:rPr>
        <w:t xml:space="preserve"> that</w:t>
      </w:r>
      <w:r w:rsidR="00E127DF">
        <w:rPr>
          <w:rFonts w:ascii="Times New Roman" w:hAnsi="Times New Roman"/>
          <w:color w:val="auto"/>
          <w:sz w:val="24"/>
          <w:szCs w:val="24"/>
          <w:lang w:eastAsia="zh-CN"/>
        </w:rPr>
        <w:t xml:space="preserve"> leads to poor utilization of</w:t>
      </w:r>
      <w:r w:rsidR="0099365D" w:rsidRPr="00E747A2">
        <w:rPr>
          <w:rFonts w:ascii="Times New Roman" w:hAnsi="Times New Roman"/>
          <w:color w:val="auto"/>
          <w:sz w:val="24"/>
          <w:szCs w:val="24"/>
          <w:lang w:eastAsia="zh-CN"/>
        </w:rPr>
        <w:t xml:space="preserve"> organic P in the feedstuffs </w:t>
      </w:r>
      <w:r w:rsidR="00382493">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author":[{"dropping-particle":"","family":"Dayyani","given":"Nematollah","non-dropping-particle":"","parse-names":false,"suffix":""},{"dropping-particle":"","family":"Beyki","given":"Morteza","non-dropping-particle":"","parse-names":false,"suffix":""},{"dropping-particle":"","family":"Abadi","given":"Bandar","non-dropping-particle":"","parse-names":false,"suffix":""},{"dropping-particle":"","family":"Amir","given":"Ahmad","non-dropping-particle":"","parse-names":false,"suffix":""},{"dropping-particle":"","family":"Farhani","given":"Abadi","non-dropping-particle":"","parse-names":false,"suffix":""}],"id":"ITEM-1","issue":"11","issued":{"date-parts":[["2013"]]},"page":"1403-1408","title":"Phytate and phytase in poultry nutrition","type":"article-journal","volume":"1"},"uris":["http://www.mendeley.com/documents/?uuid=b0d4ba89-8709-4baa-b397-c083e768ee4c"]}],"mendeley":{"formattedCitation":"(Dayyani et al. 2013)","plainTextFormattedCitation":"(Dayyani et al. 2013)","previouslyFormattedCitation":"(Dayyani et al., 2013)"},"properties":{"noteIndex":0},"schema":"https://github.com/citation-style-language/schema/raw/master/csl-citation.json"}</w:instrText>
      </w:r>
      <w:r w:rsidR="00382493">
        <w:rPr>
          <w:rFonts w:ascii="Times New Roman" w:hAnsi="Times New Roman"/>
          <w:color w:val="auto"/>
          <w:sz w:val="24"/>
          <w:szCs w:val="24"/>
          <w:lang w:eastAsia="zh-CN"/>
        </w:rPr>
        <w:fldChar w:fldCharType="separate"/>
      </w:r>
      <w:r w:rsidR="000877D7" w:rsidRPr="000877D7">
        <w:rPr>
          <w:rFonts w:ascii="Times New Roman" w:hAnsi="Times New Roman"/>
          <w:noProof/>
          <w:color w:val="auto"/>
          <w:sz w:val="24"/>
          <w:szCs w:val="24"/>
          <w:lang w:eastAsia="zh-CN"/>
        </w:rPr>
        <w:t>(Dayyani et al. 2013)</w:t>
      </w:r>
      <w:r w:rsidR="00382493">
        <w:rPr>
          <w:rFonts w:ascii="Times New Roman" w:hAnsi="Times New Roman"/>
          <w:color w:val="auto"/>
          <w:sz w:val="24"/>
          <w:szCs w:val="24"/>
          <w:lang w:eastAsia="zh-CN"/>
        </w:rPr>
        <w:fldChar w:fldCharType="end"/>
      </w:r>
      <w:r w:rsidR="0099365D" w:rsidRPr="00E747A2">
        <w:rPr>
          <w:rFonts w:ascii="Times New Roman" w:hAnsi="Times New Roman"/>
          <w:color w:val="auto"/>
          <w:sz w:val="24"/>
          <w:szCs w:val="24"/>
          <w:lang w:eastAsia="zh-CN"/>
        </w:rPr>
        <w:t>. Besides, depending on the plant endogenous phytase activity and</w:t>
      </w:r>
      <w:r w:rsidR="00FC351C" w:rsidRPr="00E747A2">
        <w:rPr>
          <w:rFonts w:ascii="Times New Roman" w:hAnsi="Times New Roman"/>
          <w:color w:val="auto"/>
          <w:sz w:val="24"/>
          <w:szCs w:val="24"/>
          <w:lang w:eastAsia="zh-CN"/>
        </w:rPr>
        <w:t xml:space="preserve"> the feed technological process</w:t>
      </w:r>
      <w:r w:rsidR="0099365D" w:rsidRPr="00E747A2">
        <w:rPr>
          <w:rFonts w:ascii="Times New Roman" w:hAnsi="Times New Roman"/>
          <w:color w:val="auto"/>
          <w:sz w:val="24"/>
          <w:szCs w:val="24"/>
          <w:lang w:eastAsia="zh-CN"/>
        </w:rPr>
        <w:t xml:space="preserve"> the bioavailability of P </w:t>
      </w:r>
      <w:r w:rsidR="00381F98" w:rsidRPr="00E747A2">
        <w:rPr>
          <w:rFonts w:ascii="Times New Roman" w:hAnsi="Times New Roman"/>
          <w:color w:val="auto"/>
          <w:sz w:val="24"/>
          <w:szCs w:val="24"/>
          <w:lang w:eastAsia="zh-CN"/>
        </w:rPr>
        <w:t>in plant ingredients</w:t>
      </w:r>
      <w:r w:rsidR="008E1FD9" w:rsidRPr="00E747A2">
        <w:rPr>
          <w:rFonts w:ascii="Times New Roman" w:hAnsi="Times New Roman"/>
          <w:color w:val="auto"/>
          <w:sz w:val="24"/>
          <w:szCs w:val="24"/>
          <w:lang w:eastAsia="zh-CN"/>
        </w:rPr>
        <w:t xml:space="preserve"> </w:t>
      </w:r>
      <w:r w:rsidR="0099365D" w:rsidRPr="00E747A2">
        <w:rPr>
          <w:rFonts w:ascii="Times New Roman" w:hAnsi="Times New Roman"/>
          <w:color w:val="auto"/>
          <w:sz w:val="24"/>
          <w:szCs w:val="24"/>
          <w:lang w:eastAsia="zh-CN"/>
        </w:rPr>
        <w:t xml:space="preserve">is highly variable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{"citationItems":[{"id":"ITEM-1","itemData":{"DOI":"10.3920/978-90-8686-668-7","abstract":"Auszüge aus dem Buch als Hardcopy: Resulting from the joint efforts of Inra and the French Association for Animal Production, these new tables present the composition and nutritive value of the raw materials used for feeding the major farm animal species. These data reflect the changes in both raw materials and nutritional concepts. New characteristics have been introduced, including but not limited to net energy (for pigs), availability of amino acids, availability of mineral elements and starch degradability (for ruminants). A reliable scientific reference for feed manufacturers, veterinarians, farmers, researchers, teachers and students.","author":[{"dropping-particle":"","family":"Tran","given":"G..D.","non-dropping-particle":"","parse-names":false,"suffix":""},{"dropping-particle":"","family":"Sauvant","given":"D.","non-dropping-particle":"","parse-names":false,"suffix":""}],"container-title":"Tables of composition and nutritional value of feed materials","edition":"2nd","editor":[{"dropping-particle":"","family":"Sauvant","given":"D.","non-dropping-particle":"","parse-names":false,"suffix":""},{"dropping-particle":"","family":"Perez","given":"J.M.","non-dropping-particle":"","parse-names":false,"suffix":""},{"dropping-particle":"","family":"Tran","given":"G.","non-dropping-particle":"","parse-names":false,"suffix":""}],"id":"ITEM-1","issued":{"date-parts":[["2004"]]},"publisher":"Wageningen Academic Publishers, Wageningen, The Netherlands.pp.17-24","title":"Chemical data and nutritional value","type":"chapter"},"uris":["http://www.mendeley.com/documents/?uuid=b89a01f2-0edc-4634-b798-7261ba492273"]}],"mendeley":{"formattedCitation":"(Tran and Sauvant 2004)","plainTextFormattedCitation":"(Tran and Sauvant 2004)","previouslyFormattedCitation":"(Tran and Sauvant, 2004)"},"properties":{"noteIndex":0},"schema":"https://github.com/citation-style-language/schema/raw/master/csl-citation.json"}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0877D7" w:rsidRPr="000877D7">
        <w:rPr>
          <w:rFonts w:ascii="Times New Roman" w:hAnsi="Times New Roman"/>
          <w:noProof/>
          <w:color w:val="auto"/>
          <w:sz w:val="24"/>
          <w:szCs w:val="24"/>
          <w:lang w:eastAsia="zh-CN"/>
        </w:rPr>
        <w:t>(Tran and Sauvant 2004)</w:t>
      </w:r>
      <w:r w:rsidR="00382493" w:rsidRPr="00E747A2">
        <w:rPr>
          <w:rFonts w:ascii="Times New Roman" w:hAnsi="Times New Roman"/>
          <w:color w:val="auto"/>
          <w:sz w:val="24"/>
          <w:szCs w:val="24"/>
          <w:lang w:eastAsia="zh-CN"/>
        </w:rPr>
        <w:fldChar w:fldCharType="end"/>
      </w:r>
      <w:r w:rsidR="00FC351C" w:rsidRPr="00E747A2">
        <w:rPr>
          <w:rFonts w:ascii="Times New Roman" w:hAnsi="Times New Roman"/>
          <w:color w:val="auto"/>
          <w:sz w:val="24"/>
          <w:szCs w:val="24"/>
          <w:lang w:eastAsia="zh-CN"/>
        </w:rPr>
        <w:t xml:space="preserve">. </w:t>
      </w:r>
      <w:r w:rsidR="005C7A44" w:rsidRPr="00E747A2">
        <w:rPr>
          <w:rFonts w:ascii="Times New Roman" w:hAnsi="Times New Roman"/>
          <w:color w:val="auto"/>
          <w:sz w:val="24"/>
          <w:szCs w:val="24"/>
          <w:lang w:eastAsia="zh-CN"/>
        </w:rPr>
        <w:t>Furthermore</w:t>
      </w:r>
      <w:r w:rsidR="00FC351C" w:rsidRPr="00E747A2">
        <w:rPr>
          <w:rFonts w:ascii="Times New Roman" w:hAnsi="Times New Roman"/>
          <w:color w:val="auto"/>
          <w:sz w:val="24"/>
          <w:szCs w:val="24"/>
          <w:lang w:eastAsia="zh-CN"/>
        </w:rPr>
        <w:t xml:space="preserve">, </w:t>
      </w:r>
      <w:r w:rsidR="0099365D" w:rsidRPr="00E747A2">
        <w:rPr>
          <w:rFonts w:ascii="Times New Roman" w:hAnsi="Times New Roman"/>
          <w:color w:val="auto"/>
          <w:sz w:val="24"/>
          <w:szCs w:val="24"/>
          <w:lang w:eastAsia="zh-CN"/>
        </w:rPr>
        <w:t xml:space="preserve">P </w:t>
      </w:r>
      <w:r w:rsidR="0099365D" w:rsidRPr="00E747A2">
        <w:rPr>
          <w:rFonts w:ascii="Times New Roman" w:hAnsi="Times New Roman"/>
          <w:color w:val="auto"/>
          <w:sz w:val="24"/>
          <w:szCs w:val="24"/>
          <w:lang w:eastAsia="zh-CN"/>
        </w:rPr>
        <w:lastRenderedPageBreak/>
        <w:t xml:space="preserve">availability can also be affected by dietary factors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{"citationItems":[{"id":"ITEM-1","itemData":{"ISBN":"03778401 (ISSN)","ISSN":"03778401","PMID":"2414","abstract":"Eighty, 12-day-old, male broiler chicks, were fed one of four diets to determine the effects of feeding grains varying in phytate phosphorus (P) and intrinsic phytase activity on ileal and excreta P digestibility and composition. The diets contained approximately 970.7 g grain kg-1(maize, high fat-low lignin oat, normal barley or low-phytate barley) with the cereal supplying the sole source of dietary P. The diets were fed for a 7-day acclimation period followed by a 2 day excreta collection while ileal digesta was collected at slaughter on day 21. The coefficients of ileal apparent digestibility (CIAD) for P and phytate P ranged from 0.79 (normal barley) to 0.86 (maize and low-phytate barley) and 0.76 (low-phytate barley) to 0.89 (maize), respectively. The CIAD for phytate P was significantly greater in the maize and high fat-low lignin oat diets, while the low-phytate barley diet had the lowest coefficient (P&gt;0.002). The coefficients of total tract apparent digestibility (CTTAD) for P and phytate P ranged from 0.25 (maize) to 0.35 (low-phytate barley) and 0.90 (maize and low-phytate barley) to 0.96 (high fat-low lignin oat), respectively, with no significant differences between diets. There was very little phytate P in excreta regardless of the type of grain fed (&lt;0.13 of total P) with no significant differences between diets. Phytate P degradation was not related to the level of intrinsic phytase in the diet. In summary, current results indicate that, regardless of the type of grain fed, dietary phytate P is highly digestible when large amounts of calcium and P are not added into poultry diets and little phytate P is excreted. © 2007 Elsevier B.V. All rights reserved.","author":[{"dropping-particle":"","family":"Leytem","given":"A. B.","non-dropping-particle":"","parse-names":false,"suffix":""},{"dropping-particle":"","family":"Willing","given":"B. P.","non-dropping-particle":"","parse-names":false,"suffix":""},{"dropping-particle":"","family":"Thacker","given":"P. A.","non-dropping-particle":"","parse-names":false,"suffix":""}],"container-title":"Animal Feed Science and Technology","id":"ITEM-1","issue":"1-2","issued":{"date-parts":[["2008"]]},"page":"160-168","title":"Phytate utilization and phosphorus excretion by broiler chickens fed diets containing cereal grains varying in phytate and phytase content","type":"article-journal","volume":"146"},"uris":["http://www.mendeley.com/documents/?uuid=14d49773-b51c-488e-ad60-db7102e4a1bc"]}],"mendeley":{"formattedCitation":"(Leytem, Willing, and Thacker 2008)","manualFormatting":"(Leytem et al., 2008)","plainTextFormattedCitation":"(Leytem, Willing, and Thacker 2008)","previouslyFormattedCitation":"(Leytem et al., 2008)"},"properties":{"noteIndex":0},"schema":"https://github.com/citation-style-language/schema/raw/master/csl-citation.json"}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0C5804" w:rsidRPr="00E747A2">
        <w:rPr>
          <w:rFonts w:ascii="Times New Roman" w:hAnsi="Times New Roman"/>
          <w:noProof/>
          <w:color w:val="auto"/>
          <w:sz w:val="24"/>
          <w:szCs w:val="24"/>
          <w:lang w:eastAsia="zh-CN"/>
        </w:rPr>
        <w:t>(Ley</w:t>
      </w:r>
      <w:r w:rsidR="00AF3B8B" w:rsidRPr="00E747A2">
        <w:rPr>
          <w:rFonts w:ascii="Times New Roman" w:hAnsi="Times New Roman"/>
          <w:noProof/>
          <w:color w:val="auto"/>
          <w:sz w:val="24"/>
          <w:szCs w:val="24"/>
          <w:lang w:eastAsia="zh-CN"/>
        </w:rPr>
        <w:t>tem</w:t>
      </w:r>
      <w:r w:rsidR="000C5804" w:rsidRPr="00E747A2">
        <w:rPr>
          <w:rFonts w:ascii="Times New Roman" w:hAnsi="Times New Roman"/>
          <w:noProof/>
          <w:color w:val="auto"/>
          <w:sz w:val="24"/>
          <w:szCs w:val="24"/>
          <w:lang w:eastAsia="zh-CN"/>
        </w:rPr>
        <w:t xml:space="preserve"> et al.</w:t>
      </w:r>
      <w:r w:rsidR="00AB3728" w:rsidRPr="00E747A2">
        <w:rPr>
          <w:rFonts w:ascii="Times New Roman" w:hAnsi="Times New Roman"/>
          <w:noProof/>
          <w:color w:val="auto"/>
          <w:sz w:val="24"/>
          <w:szCs w:val="24"/>
          <w:lang w:eastAsia="zh-CN"/>
        </w:rPr>
        <w:t>, 2008)</w:t>
      </w:r>
      <w:r w:rsidR="00382493" w:rsidRPr="00E747A2">
        <w:rPr>
          <w:rFonts w:ascii="Times New Roman" w:hAnsi="Times New Roman"/>
          <w:color w:val="auto"/>
          <w:sz w:val="24"/>
          <w:szCs w:val="24"/>
          <w:lang w:eastAsia="zh-CN"/>
        </w:rPr>
        <w:fldChar w:fldCharType="end"/>
      </w:r>
      <w:r w:rsidR="0099365D" w:rsidRPr="00E747A2">
        <w:rPr>
          <w:rFonts w:ascii="Times New Roman" w:hAnsi="Times New Roman"/>
          <w:color w:val="auto"/>
          <w:sz w:val="24"/>
          <w:szCs w:val="24"/>
          <w:lang w:eastAsia="zh-CN"/>
        </w:rPr>
        <w:t>. Therefore, it is necessary to assess the bioavailability of P in feed ingredients of plant origin</w:t>
      </w:r>
      <w:r w:rsidR="005C7A44" w:rsidRPr="00E747A2">
        <w:rPr>
          <w:rFonts w:ascii="Times New Roman" w:hAnsi="Times New Roman"/>
          <w:color w:val="auto"/>
          <w:sz w:val="24"/>
          <w:szCs w:val="24"/>
          <w:lang w:eastAsia="zh-CN"/>
        </w:rPr>
        <w:t xml:space="preserve"> at regular bases</w:t>
      </w:r>
      <w:r w:rsidR="0099365D" w:rsidRPr="00E747A2">
        <w:rPr>
          <w:rFonts w:ascii="Times New Roman" w:hAnsi="Times New Roman"/>
          <w:color w:val="auto"/>
          <w:sz w:val="24"/>
          <w:szCs w:val="24"/>
          <w:lang w:eastAsia="zh-CN"/>
        </w:rPr>
        <w:t>.</w:t>
      </w:r>
    </w:p>
    <w:p w:rsidR="0099365D" w:rsidRPr="00E747A2" w:rsidRDefault="00D4444C" w:rsidP="007F6307">
      <w:pPr>
        <w:pStyle w:val="MDPI31text"/>
        <w:spacing w:line="480" w:lineRule="auto"/>
        <w:rPr>
          <w:rFonts w:ascii="Times New Roman" w:hAnsi="Times New Roman"/>
          <w:color w:val="auto"/>
          <w:sz w:val="24"/>
          <w:szCs w:val="24"/>
          <w:lang w:eastAsia="zh-CN"/>
        </w:rPr>
      </w:pPr>
      <w:r w:rsidRPr="00E747A2">
        <w:rPr>
          <w:rFonts w:ascii="Times New Roman" w:hAnsi="Times New Roman"/>
          <w:color w:val="auto"/>
          <w:sz w:val="24"/>
          <w:szCs w:val="24"/>
          <w:lang w:eastAsia="zh-CN"/>
        </w:rPr>
        <w:t xml:space="preserve">Nowadays, </w:t>
      </w:r>
      <w:r w:rsidR="0099365D" w:rsidRPr="00E747A2">
        <w:rPr>
          <w:rFonts w:ascii="Times New Roman" w:hAnsi="Times New Roman"/>
          <w:color w:val="auto"/>
          <w:sz w:val="24"/>
          <w:szCs w:val="24"/>
          <w:lang w:eastAsia="zh-CN"/>
        </w:rPr>
        <w:t xml:space="preserve">evaluate the bio-availability of plant feed ingredients </w:t>
      </w:r>
      <w:r w:rsidR="00D545A7">
        <w:rPr>
          <w:rFonts w:ascii="Times New Roman" w:hAnsi="Times New Roman"/>
          <w:color w:val="auto"/>
          <w:sz w:val="24"/>
          <w:szCs w:val="24"/>
          <w:lang w:eastAsia="zh-CN"/>
        </w:rPr>
        <w:t xml:space="preserve">with </w:t>
      </w:r>
      <w:r w:rsidR="00D545A7" w:rsidRPr="00E747A2">
        <w:rPr>
          <w:rFonts w:ascii="Times New Roman" w:hAnsi="Times New Roman"/>
          <w:color w:val="auto"/>
          <w:sz w:val="24"/>
          <w:szCs w:val="24"/>
          <w:lang w:eastAsia="zh-CN"/>
        </w:rPr>
        <w:t xml:space="preserve">classical methods </w:t>
      </w:r>
      <w:r w:rsidR="0099365D" w:rsidRPr="00E747A2">
        <w:rPr>
          <w:rFonts w:ascii="Times New Roman" w:hAnsi="Times New Roman"/>
          <w:color w:val="auto"/>
          <w:sz w:val="24"/>
          <w:szCs w:val="24"/>
          <w:lang w:eastAsia="zh-CN"/>
        </w:rPr>
        <w:t>in vivo include the indirect method which determinates relative bioactivity of ingredients to the standard inorgani</w:t>
      </w:r>
      <w:r w:rsidRPr="00E747A2">
        <w:rPr>
          <w:rFonts w:ascii="Times New Roman" w:hAnsi="Times New Roman"/>
          <w:color w:val="auto"/>
          <w:sz w:val="24"/>
          <w:szCs w:val="24"/>
          <w:lang w:eastAsia="zh-CN"/>
        </w:rPr>
        <w:t>c P source by growth response of</w:t>
      </w:r>
      <w:r w:rsidR="0099365D" w:rsidRPr="00E747A2">
        <w:rPr>
          <w:rFonts w:ascii="Times New Roman" w:hAnsi="Times New Roman"/>
          <w:color w:val="auto"/>
          <w:sz w:val="24"/>
          <w:szCs w:val="24"/>
          <w:lang w:eastAsia="zh-CN"/>
        </w:rPr>
        <w:t xml:space="preserve"> P deposition in bone</w:t>
      </w:r>
      <w:r w:rsidR="005C7A44" w:rsidRPr="00E747A2">
        <w:rPr>
          <w:rFonts w:ascii="Times New Roman" w:hAnsi="Times New Roman"/>
          <w:color w:val="auto"/>
          <w:sz w:val="24"/>
          <w:szCs w:val="24"/>
          <w:lang w:eastAsia="zh-CN"/>
        </w:rPr>
        <w:t>. T</w:t>
      </w:r>
      <w:r w:rsidR="0099365D" w:rsidRPr="00E747A2">
        <w:rPr>
          <w:rFonts w:ascii="Times New Roman" w:hAnsi="Times New Roman"/>
          <w:color w:val="auto"/>
          <w:sz w:val="24"/>
          <w:szCs w:val="24"/>
          <w:lang w:eastAsia="zh-CN"/>
        </w:rPr>
        <w:t xml:space="preserve">he direct method assesses the availability (metabolizability) of P in feed ingredients by </w:t>
      </w:r>
      <w:r w:rsidR="005C7A44"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digestion experiment</w:t>
      </w:r>
      <w:r w:rsidR="005C7A44" w:rsidRPr="00E747A2">
        <w:rPr>
          <w:rFonts w:ascii="Times New Roman" w:hAnsi="Times New Roman"/>
          <w:color w:val="auto"/>
          <w:sz w:val="24"/>
          <w:szCs w:val="24"/>
          <w:lang w:eastAsia="zh-CN"/>
        </w:rPr>
        <w:t>s</w:t>
      </w:r>
      <w:r w:rsidR="0099365D" w:rsidRPr="00E747A2">
        <w:rPr>
          <w:rFonts w:ascii="Times New Roman" w:hAnsi="Times New Roman"/>
          <w:color w:val="auto"/>
          <w:sz w:val="24"/>
          <w:szCs w:val="24"/>
          <w:lang w:eastAsia="zh-CN"/>
        </w:rPr>
        <w:t xml:space="preserve">. The former will obtain the relative bio-availability based on </w:t>
      </w:r>
      <w:r w:rsidR="005C7A44"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growth rate, biochemical makers and mineralization of bone of target animals, which take</w:t>
      </w:r>
      <w:r w:rsidR="005C7A44" w:rsidRPr="00E747A2">
        <w:rPr>
          <w:rFonts w:ascii="Times New Roman" w:hAnsi="Times New Roman"/>
          <w:color w:val="auto"/>
          <w:sz w:val="24"/>
          <w:szCs w:val="24"/>
          <w:lang w:eastAsia="zh-CN"/>
        </w:rPr>
        <w:t>s</w:t>
      </w:r>
      <w:r w:rsidR="0099365D" w:rsidRPr="00E747A2">
        <w:rPr>
          <w:rFonts w:ascii="Times New Roman" w:hAnsi="Times New Roman"/>
          <w:color w:val="auto"/>
          <w:sz w:val="24"/>
          <w:szCs w:val="24"/>
          <w:lang w:eastAsia="zh-CN"/>
        </w:rPr>
        <w:t xml:space="preserve"> </w:t>
      </w:r>
      <w:r w:rsidRPr="00E747A2">
        <w:rPr>
          <w:rFonts w:ascii="Times New Roman" w:hAnsi="Times New Roman"/>
          <w:color w:val="auto"/>
          <w:sz w:val="24"/>
          <w:szCs w:val="24"/>
          <w:lang w:eastAsia="zh-CN"/>
        </w:rPr>
        <w:t xml:space="preserve">a </w:t>
      </w:r>
      <w:r w:rsidR="0099365D" w:rsidRPr="00E747A2">
        <w:rPr>
          <w:rFonts w:ascii="Times New Roman" w:hAnsi="Times New Roman"/>
          <w:color w:val="auto"/>
          <w:sz w:val="24"/>
          <w:szCs w:val="24"/>
          <w:lang w:eastAsia="zh-CN"/>
        </w:rPr>
        <w:t>longer time and more labo</w:t>
      </w:r>
      <w:r w:rsidR="00D545A7">
        <w:rPr>
          <w:rFonts w:ascii="Times New Roman" w:hAnsi="Times New Roman"/>
          <w:color w:val="auto"/>
          <w:sz w:val="24"/>
          <w:szCs w:val="24"/>
          <w:lang w:eastAsia="zh-CN"/>
        </w:rPr>
        <w:t>ur</w:t>
      </w:r>
      <w:r w:rsidR="005C7A44" w:rsidRPr="00E747A2">
        <w:rPr>
          <w:rFonts w:ascii="Times New Roman" w:hAnsi="Times New Roman"/>
          <w:color w:val="auto"/>
          <w:sz w:val="24"/>
          <w:szCs w:val="24"/>
          <w:lang w:eastAsia="zh-CN"/>
        </w:rPr>
        <w:t xml:space="preserve"> to feed</w:t>
      </w:r>
      <w:r w:rsidR="0099365D" w:rsidRPr="00E747A2">
        <w:rPr>
          <w:rFonts w:ascii="Times New Roman" w:hAnsi="Times New Roman"/>
          <w:color w:val="auto"/>
          <w:sz w:val="24"/>
          <w:szCs w:val="24"/>
          <w:lang w:eastAsia="zh-CN"/>
        </w:rPr>
        <w:t xml:space="preserve"> animal and be</w:t>
      </w:r>
      <w:r w:rsidR="00D545A7">
        <w:rPr>
          <w:rFonts w:ascii="Times New Roman" w:hAnsi="Times New Roman"/>
          <w:color w:val="auto"/>
          <w:sz w:val="24"/>
          <w:szCs w:val="24"/>
          <w:lang w:eastAsia="zh-CN"/>
        </w:rPr>
        <w:t>come</w:t>
      </w:r>
      <w:r w:rsidR="0099365D" w:rsidRPr="00E747A2">
        <w:rPr>
          <w:rFonts w:ascii="Times New Roman" w:hAnsi="Times New Roman"/>
          <w:color w:val="auto"/>
          <w:sz w:val="24"/>
          <w:szCs w:val="24"/>
          <w:lang w:eastAsia="zh-CN"/>
        </w:rPr>
        <w:t xml:space="preserve"> difficult to evaluate multiple samples at a single trial. The latter can get </w:t>
      </w:r>
      <w:r w:rsidR="005C7A44"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availability of P in feed ingredients based on collecting feces tr</w:t>
      </w:r>
      <w:r w:rsidR="00D545A7">
        <w:rPr>
          <w:rFonts w:ascii="Times New Roman" w:hAnsi="Times New Roman"/>
          <w:color w:val="auto"/>
          <w:sz w:val="24"/>
          <w:szCs w:val="24"/>
          <w:lang w:eastAsia="zh-CN"/>
        </w:rPr>
        <w:t>ial, which takes less time and is helpful to</w:t>
      </w:r>
      <w:r w:rsidR="0099365D" w:rsidRPr="00E747A2">
        <w:rPr>
          <w:rFonts w:ascii="Times New Roman" w:hAnsi="Times New Roman"/>
          <w:color w:val="auto"/>
          <w:sz w:val="24"/>
          <w:szCs w:val="24"/>
          <w:lang w:eastAsia="zh-CN"/>
        </w:rPr>
        <w:t xml:space="preserve"> assess multiple samples once, and is thought as a classical and the most frequently used method. </w:t>
      </w:r>
      <w:r w:rsidR="00707836" w:rsidRPr="00E747A2">
        <w:rPr>
          <w:rFonts w:ascii="Times New Roman" w:hAnsi="Times New Roman"/>
          <w:color w:val="auto"/>
          <w:sz w:val="24"/>
          <w:szCs w:val="24"/>
          <w:lang w:eastAsia="zh-CN"/>
        </w:rPr>
        <w:t>Using the</w:t>
      </w:r>
      <w:r w:rsidR="0099365D" w:rsidRPr="00E747A2">
        <w:rPr>
          <w:rFonts w:ascii="Times New Roman" w:hAnsi="Times New Roman"/>
          <w:color w:val="auto"/>
          <w:sz w:val="24"/>
          <w:szCs w:val="24"/>
          <w:lang w:eastAsia="zh-CN"/>
        </w:rPr>
        <w:t xml:space="preserve"> classical digestion experiment, we can </w:t>
      </w:r>
      <w:r w:rsidR="008F5F18" w:rsidRPr="00E747A2">
        <w:rPr>
          <w:rFonts w:ascii="Times New Roman" w:hAnsi="Times New Roman"/>
          <w:color w:val="auto"/>
          <w:sz w:val="24"/>
          <w:szCs w:val="24"/>
          <w:lang w:eastAsia="zh-CN"/>
        </w:rPr>
        <w:t>examine</w:t>
      </w:r>
      <w:r w:rsidR="0099365D" w:rsidRPr="00E747A2">
        <w:rPr>
          <w:rFonts w:ascii="Times New Roman" w:hAnsi="Times New Roman"/>
          <w:color w:val="auto"/>
          <w:sz w:val="24"/>
          <w:szCs w:val="24"/>
          <w:lang w:eastAsia="zh-CN"/>
        </w:rPr>
        <w:t xml:space="preserve"> the apparent digestibility for swine or the availabilit</w:t>
      </w:r>
      <w:r w:rsidR="007F6307">
        <w:rPr>
          <w:rFonts w:ascii="Times New Roman" w:hAnsi="Times New Roman"/>
          <w:color w:val="auto"/>
          <w:sz w:val="24"/>
          <w:szCs w:val="24"/>
          <w:lang w:eastAsia="zh-CN"/>
        </w:rPr>
        <w:t xml:space="preserve">y for poultry. Considering </w:t>
      </w:r>
      <w:r w:rsidR="0099365D" w:rsidRPr="00E747A2">
        <w:rPr>
          <w:rFonts w:ascii="Times New Roman" w:hAnsi="Times New Roman"/>
          <w:color w:val="auto"/>
          <w:sz w:val="24"/>
          <w:szCs w:val="24"/>
          <w:lang w:eastAsia="zh-CN"/>
        </w:rPr>
        <w:t>the</w:t>
      </w:r>
      <w:r w:rsidR="007F6307">
        <w:rPr>
          <w:rFonts w:ascii="Times New Roman" w:hAnsi="Times New Roman"/>
          <w:color w:val="auto"/>
          <w:sz w:val="24"/>
          <w:szCs w:val="24"/>
          <w:lang w:eastAsia="zh-CN"/>
        </w:rPr>
        <w:t xml:space="preserve"> existence of</w:t>
      </w:r>
      <w:r w:rsidR="0099365D" w:rsidRPr="00E747A2">
        <w:rPr>
          <w:rFonts w:ascii="Times New Roman" w:hAnsi="Times New Roman"/>
          <w:color w:val="auto"/>
          <w:sz w:val="24"/>
          <w:szCs w:val="24"/>
          <w:lang w:eastAsia="zh-CN"/>
        </w:rPr>
        <w:t xml:space="preserve"> endogenous P loss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{"citationItems":[{"id":"ITEM-1","itemData":{"ISSN":"0022-3166","PMID":"11533284","abstract":"Methodology was developed for measuring the gastrointestinal endogenous phosphorus (P) outputs and true P digestibility values in studies with piglets. Four barrows, average initial body weight 6.8 kg, were fitted with a simple T-cannula at the distal ileum and fed four diets according to a 4 x 4 Latin square design. Four cornstarch-based diets containing four levels of P (1.1, 2.1, 3.2 and 4.3 g/kg diet) on a dry matter (DM) basis were formulated from soybean meal (SBM). Each experimental period comprised 8 d with a 4-d adaptation and 4-d collection of ileal digesta and feces. The apparent ileal and fecal P digestibility values in SBM were affected (P &lt; 0.05) by P levels in the assay diets. The ileal and fecal P digestibility values increased from -24.8 to 37.1% and from 18.8 to 42.5%, respectively, as P contents increased from 1.1 to 4.3 g/kg DM diet. Linear relationships (P &lt; 0.05), expressed as g/kg DM diet intake, between ileal and fecal outputs and dietary inputs of P, suggested that the endogenous P outputs can be determined by linear regression analysis. The endogenous P output was higher (P &lt; 0.05) in ileal digesta than in feces (0.86 +/- 0.09 vs. 0.31 +/- 0.06 g/kg DM diet intake). There was no difference (P &gt; 0.05) between the true ileal (50.7 +/- 7.1%) and fecal (48.5 +/- 5.4%) P digestibility values in SBM. These results suggest that differences in P contents between assay diets are primarily responsible for the large variability in apparent P digestibility values reported within the same ingredient. Apparent digestibility values underestimate the true digestive utilization of P by approximately 25%. True rather than apparent P digestibility values should be determined and used in diet formulation for pigs. In addition, this study shows that the gastrointestinal endogenous P output is important in whole-body P requirement and homeostasis.","author":[{"dropping-particle":"","family":"Fan","given":"M. Z.","non-dropping-particle":"","parse-names":false,"suffix":""},{"dropping-particle":"","family":"Archbold","given":"T.","non-dropping-particle":"","parse-names":false,"suffix":""},{"dropping-particle":"","family":"Sauer","given":"W. C.","non-dropping-particle":"","parse-names":false,"suffix":""},{"dropping-particle":"","family":"Lackeyram","given":"D.","non-dropping-particle":"","parse-names":false,"suffix":""},{"dropping-particle":"","family":"Rideout","given":"T.","non-dropping-particle":"","parse-names":false,"suffix":""},{"dropping-particle":"","family":"Gao","given":"Y.","non-dropping-particle":"","parse-names":false,"suffix":""},{"dropping-particle":"","family":"Lange","given":"C. F.","non-dropping-particle":"de","parse-names":false,"suffix":""},{"dropping-particle":"","family":"Hacker","given":"R. R.","non-dropping-particle":"","parse-names":false,"suffix":""}],"container-title":"The Journal of nutrition","id":"ITEM-1","issue":"9","issued":{"date-parts":[["2001"]]},"page":"2388-2396","title":"Novel methodology allows simultaneous measurement of true phosphorus digestibility and the gastrointestinal endogenous phosphorus outputs in studies with pigs","type":"article-journal","volume":"131"},"uris":["http://www.mendeley.com/documents/?uuid=8f381afa-6ac3-421e-9cdf-ad51ff987ff6"]}],"mendeley":{"formattedCitation":"(Fan et al. 2001)","manualFormatting":"(Fan et al., 2001)","plainTextFormattedCitation":"(Fan et al. 2001)","previouslyFormattedCitation":"(Fan et al., 2001)"},"properties":{"noteIndex":0},"schema":"https://github.com/citation-style-language/schema/raw/master/csl-citation.json"}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36522F" w:rsidRPr="00E747A2">
        <w:rPr>
          <w:rFonts w:ascii="Times New Roman" w:hAnsi="Times New Roman"/>
          <w:noProof/>
          <w:color w:val="auto"/>
          <w:sz w:val="24"/>
          <w:szCs w:val="24"/>
          <w:lang w:eastAsia="zh-CN"/>
        </w:rPr>
        <w:t>(Fan et al.</w:t>
      </w:r>
      <w:r w:rsidR="00AF3B8B" w:rsidRPr="00E747A2">
        <w:rPr>
          <w:rFonts w:ascii="Times New Roman" w:hAnsi="Times New Roman"/>
          <w:noProof/>
          <w:color w:val="auto"/>
          <w:sz w:val="24"/>
          <w:szCs w:val="24"/>
          <w:lang w:eastAsia="zh-CN"/>
        </w:rPr>
        <w:t>,</w:t>
      </w:r>
      <w:r w:rsidR="0036522F" w:rsidRPr="00E747A2">
        <w:rPr>
          <w:rFonts w:ascii="Times New Roman" w:hAnsi="Times New Roman"/>
          <w:noProof/>
          <w:color w:val="auto"/>
          <w:sz w:val="24"/>
          <w:szCs w:val="24"/>
          <w:lang w:eastAsia="zh-CN"/>
        </w:rPr>
        <w:t xml:space="preserve"> 2001)</w:t>
      </w:r>
      <w:r w:rsidR="00382493" w:rsidRPr="00E747A2">
        <w:rPr>
          <w:rFonts w:ascii="Times New Roman" w:hAnsi="Times New Roman"/>
          <w:color w:val="auto"/>
          <w:sz w:val="24"/>
          <w:szCs w:val="24"/>
          <w:lang w:eastAsia="zh-CN"/>
        </w:rPr>
        <w:fldChar w:fldCharType="end"/>
      </w:r>
      <w:r w:rsidR="0099365D" w:rsidRPr="00E747A2">
        <w:rPr>
          <w:rFonts w:ascii="Times New Roman" w:hAnsi="Times New Roman"/>
          <w:color w:val="auto"/>
          <w:sz w:val="24"/>
          <w:szCs w:val="24"/>
          <w:lang w:eastAsia="zh-CN"/>
        </w:rPr>
        <w:t xml:space="preserve"> has </w:t>
      </w:r>
      <w:r w:rsidRPr="00E747A2">
        <w:rPr>
          <w:rFonts w:ascii="Times New Roman" w:hAnsi="Times New Roman"/>
          <w:color w:val="auto"/>
          <w:sz w:val="24"/>
          <w:szCs w:val="24"/>
          <w:lang w:eastAsia="zh-CN"/>
        </w:rPr>
        <w:t xml:space="preserve">an </w:t>
      </w:r>
      <w:r w:rsidR="0099365D" w:rsidRPr="00E747A2">
        <w:rPr>
          <w:rFonts w:ascii="Times New Roman" w:hAnsi="Times New Roman"/>
          <w:color w:val="auto"/>
          <w:sz w:val="24"/>
          <w:szCs w:val="24"/>
          <w:lang w:eastAsia="zh-CN"/>
        </w:rPr>
        <w:t>inevitable influence on apparent digestibility</w:t>
      </w:r>
      <w:r w:rsidR="00215350" w:rsidRPr="00E747A2">
        <w:rPr>
          <w:rFonts w:ascii="Times New Roman" w:hAnsi="Times New Roman"/>
          <w:color w:val="auto"/>
          <w:sz w:val="24"/>
          <w:szCs w:val="24"/>
          <w:lang w:eastAsia="zh-CN"/>
        </w:rPr>
        <w:t xml:space="preserve">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{"citationItems":[{"id":"ITEM-1","itemData":{"author":[{"dropping-particle":"","family":"Fang","given":"R J","non-dropping-particle":"","parse-names":false,"suffix":""},{"dropping-particle":"","family":"Li","given":"T J","non-dropping-particle":"","parse-names":false,"suffix":""},{"dropping-particle":"","family":"Yin","given":"F G","non-dropping-particle":"","parse-names":false,"suffix":""},{"dropping-particle":"","family":"Yin","given":"Y L","non-dropping-particle":"","parse-names":false,"suffix":""},{"dropping-particle":"","family":"Kong","given":"X F","non-dropping-particle":"","parse-names":false,"suffix":""},{"dropping-particle":"","family":"Wang","given":"K N","non-dropping-particle":"","parse-names":false,"suffix":""},{"dropping-particle":"","family":"Yuan","given":"Z","non-dropping-particle":"","parse-names":false,"suffix":""},{"dropping-particle":"","family":"Wu","given":"G Y","non-dropping-particle":"","parse-names":false,"suffix":""},{"dropping-particle":"","family":"He","given":"J H","non-dropping-particle":"","parse-names":false,"suffix":""},{"dropping-particle":"","family":"Deng","given":"Z Y","non-dropping-particle":"","parse-names":false,"suffix":""},{"dropping-particle":"","family":"Fan","given":"M Z","non-dropping-particle":"","parse-names":false,"suffix":""}],"id":"ITEM-1","issue":"7","issued":{"date-parts":[["2007"]]},"page":"1092-1099","title":"The Additivity of True or Apparent Phosphorus Digestibility Values in Some Feed Ingredients for Growing Pigs","type":"article-journal","volume":"20"},"uris":["http://www.mendeley.com/documents/?uuid=90df4c24-64fc-489e-a572-1b662d7a284d"]},{"id":"ITEM-2","itemData":{"DOI":"10.2527/jas.2011-4103","ISBN":"1525-3163 (Electronic)\\r0021-8812 (Linking)","ISSN":"00218812","PMID":"22147481","abstract":"An experiment was conducted to test the hypothesis that the apparent total tract digestibility (ATTD) and the standardized total tract digestibility (STTD) of P in fermented soybean meal (FSBM) are greater than in conventional soybean meal (SBM-CV) when fed to growing pigs. Four diets were formulated to contain FSBM or SBM-CV and either 0 or 800 units/kg of microbial phytase. The only sources of P in these diets were FSBM and SBM-CV. A P-free diet to estimate basal endogenous losses of P was also formulated. Thirty barrows (initial BW: 14.0 ± 2.3 kg) were placed in metabolism cages and allotted to 5 diets in a randomized complete block design with 6 pigs per diet. Feces were collected for 5 d after a 5-d adaptation period. All samples of ingredients, diets, and feces were analyzed for P, and values for ATTD and STTD of P were calculated. Results indicated that the basal endogenous P losses were 187 mg/kg of DMI. As phytase was added to the diet, the ATTD and STTD of P increased (P &lt; 0.01) from 60.9 to 67.5% and from 65.5 to 71.9%, respectively, in pigs fed FSMB. Likewise, addition of phytase to SBM-CV increased (P &lt; 0.01) the ATTD and STTD of P from 41.6 to 66.2% and from 46.1 to 71.4%, respectively. The ATTD and STTD of P were greater (P &lt; 0.01) in FSBM than in SBM-CV when no phytase was used, but that was not observed when phytase was added to the diet (soybean meal × phytase interaction, P &lt; 0.01). In conclusion, the ATTD and STTD of P in FSBM was greater than SBM-CV when no microbial phytase was added, but when phytase was added to the diets, no differences between FSBM and SBM-CV were observed in the ATTD and STTD of P.","author":[{"dropping-particle":"","family":"Rojas","given":"O. J.","non-dropping-particle":"","parse-names":false,"suffix":""},{"dropping-particle":"","family":"Stein","given":"H. H.","non-dropping-particle":"","parse-names":false,"suffix":""}],"container-title":"Journal of Animal Science","id":"ITEM-2","issue":"5","issued":{"date-parts":[["2012"]]},"page":"1506-1512","title":"Digestibility of phosphorus by growing pigs of fermented and conventional soybean meal without and with microbial phytase","type":"article-journal","volume":"90"},"uris":["http://www.mendeley.com/documents/?uuid=d08cf22a-ff81-4c1b-a2c1-5d099e69f6ba"]},{"id":"ITEM-3","itemData":{"author":[{"dropping-particle":"","family":"Almeida","given":"F N","non-dropping-particle":"","parse-names":false,"suffix":""},{"dropping-particle":"","family":"Stein","given":"H H","non-dropping-particle":"","parse-names":false,"suffix":""}],"container-title":"American Society of Animal Science","id":"ITEM-3","issued":{"date-parts":[["2010"]]},"page":"2968-2977","title":"Performance and phosphorus balance of pigs fed diets formulated on the basis of values for standardized total tract digestibility of phosphorus","type":"article-journal","volume":"88"},"uris":["http://www.mendeley.com/documents/?uuid=87775784-84f8-43c6-bd27-fadc50844dc6"]}],"mendeley":{"formattedCitation":"(Almeida and Stein 2010; Fang et al. 2007; Rojas and Stein 2012)","manualFormatting":"(Almeida and Stein 2010; Fang et al., 2007; Rojas and Stein 2012)","plainTextFormattedCitation":"(Almeida and Stein 2010; Fang et al. 2007; Rojas and Stein 2012)","previouslyFormattedCitation":"(Almeida and Stein, 2010; Fang et al., 2007; Rojas and Stein, 2012)"},"properties":{"noteIndex":0},"schema":"https://github.com/citation-style-language/schema/raw/master/csl-citation.json"}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36522F" w:rsidRPr="00E747A2">
        <w:rPr>
          <w:rFonts w:ascii="Times New Roman" w:hAnsi="Times New Roman"/>
          <w:noProof/>
          <w:color w:val="auto"/>
          <w:sz w:val="24"/>
          <w:szCs w:val="24"/>
          <w:lang w:eastAsia="zh-CN"/>
        </w:rPr>
        <w:t>(Almeida and Stein 2010; Fang et al.</w:t>
      </w:r>
      <w:r w:rsidR="00AF3B8B" w:rsidRPr="00E747A2">
        <w:rPr>
          <w:rFonts w:ascii="Times New Roman" w:hAnsi="Times New Roman"/>
          <w:noProof/>
          <w:color w:val="auto"/>
          <w:sz w:val="24"/>
          <w:szCs w:val="24"/>
          <w:lang w:eastAsia="zh-CN"/>
        </w:rPr>
        <w:t>,</w:t>
      </w:r>
      <w:r w:rsidR="0036522F" w:rsidRPr="00E747A2">
        <w:rPr>
          <w:rFonts w:ascii="Times New Roman" w:hAnsi="Times New Roman"/>
          <w:noProof/>
          <w:color w:val="auto"/>
          <w:sz w:val="24"/>
          <w:szCs w:val="24"/>
          <w:lang w:eastAsia="zh-CN"/>
        </w:rPr>
        <w:t xml:space="preserve"> 2007; Rojas and Stein 2012)</w:t>
      </w:r>
      <w:r w:rsidR="00382493" w:rsidRPr="00E747A2">
        <w:rPr>
          <w:rFonts w:ascii="Times New Roman" w:hAnsi="Times New Roman"/>
          <w:color w:val="auto"/>
          <w:sz w:val="24"/>
          <w:szCs w:val="24"/>
          <w:lang w:eastAsia="zh-CN"/>
        </w:rPr>
        <w:fldChar w:fldCharType="end"/>
      </w:r>
      <w:r w:rsidR="007F6307">
        <w:rPr>
          <w:rFonts w:ascii="Times New Roman" w:hAnsi="Times New Roman"/>
          <w:color w:val="auto"/>
          <w:sz w:val="24"/>
          <w:szCs w:val="24"/>
          <w:lang w:eastAsia="zh-CN"/>
        </w:rPr>
        <w:t>.</w:t>
      </w:r>
      <w:r w:rsidR="007E26B8" w:rsidRPr="00E747A2">
        <w:rPr>
          <w:rFonts w:ascii="Times New Roman" w:hAnsi="Times New Roman"/>
          <w:color w:val="auto"/>
          <w:sz w:val="24"/>
          <w:szCs w:val="24"/>
          <w:lang w:eastAsia="zh-CN"/>
        </w:rPr>
        <w:t xml:space="preserve"> </w:t>
      </w:r>
      <w:r w:rsidR="007F6307">
        <w:rPr>
          <w:rFonts w:ascii="Times New Roman" w:hAnsi="Times New Roman"/>
          <w:color w:val="auto"/>
          <w:sz w:val="24"/>
          <w:szCs w:val="24"/>
          <w:lang w:eastAsia="zh-CN"/>
        </w:rPr>
        <w:t xml:space="preserve">The value of </w:t>
      </w:r>
      <w:r w:rsidR="0099365D" w:rsidRPr="00E747A2">
        <w:rPr>
          <w:rFonts w:ascii="Times New Roman" w:hAnsi="Times New Roman"/>
          <w:color w:val="auto"/>
          <w:sz w:val="24"/>
          <w:szCs w:val="24"/>
          <w:lang w:eastAsia="zh-CN"/>
        </w:rPr>
        <w:t xml:space="preserve"> apparent availability</w:t>
      </w:r>
      <w:r w:rsidR="00FB3836" w:rsidRPr="00E747A2">
        <w:rPr>
          <w:rFonts w:ascii="Times New Roman" w:hAnsi="Times New Roman"/>
          <w:color w:val="auto"/>
          <w:sz w:val="24"/>
          <w:szCs w:val="24"/>
          <w:lang w:eastAsia="zh-CN"/>
        </w:rPr>
        <w:t xml:space="preserve">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{"citationItems":[{"id":"ITEM-1","itemData":{"ISSN":"01634984","PMID":"22278097","abstract":"The objective of this study was to develop a procedure for estimating the standardized mineral (calcium, Ca; phosphorus, P; copper, Cu; manganese, Mn; zinc, Zn) availabilities (SMA) in soybean meal for broilers. In experiment 1, twelve 24-day-old male chicks were used to determine the length of the pre-experimental fasting period needed to empty the total tract of feed residues. Feed was removed and excreta samples were collected for 12, 24, 36 or 48 h after feed withdrawal, respectively. The result indicated that birds were fasted for at least 24 h after feed withdrawal in order to ensure that no previous feed residues remained in the digestive tract of chicks. In a subsequent experiment, forty-eight 24-day-old male chicks were used to determine SMA in soybean meal. Chicks were fasted for 24 h and then fed mineral-free or soybean meal diet for 4 h, and excreta samples were collected until 24 or 48 h after feed withdrawal. The results showed that the extended excreta collection time of 48 h after feed withdrawal was adequate for estimating SMA. The standardized availability values of Ca, P, Cu, Mn or Zn in soybean meal were 51.14%, 50.22%, 36.28%, 30.79% or 49.66%, respectively. In experiment 3, a similar bioassay was conducted with forty-eight 36-day-old male chicks to measure SMA in the same soybean meal. The standardized availability values of P (51.59%), Cu (36.37%), Mn (31.94%) or Zn (43.37%) were similar (P &gt; 0.12) to the results of experiment 2 except for Ca (41.49%), indicating that the age of birds had no effect on the standardized availabilities of P, Cu, Mn or Zn in soybean meal. The results from this study suggested that this simple and rapid procedure could be used to determine SMA in feedstuffs (e.g., soybean meal) for broiler chicks.","author":[{"dropping-particle":"","family":"Liu","given":"S.","non-dropping-particle":"","parse-names":false,"suffix":""},{"dropping-particle":"","family":"Li","given":"S.","non-dropping-particle":"","parse-names":false,"suffix":""},{"dropping-particle":"","family":"Lu","given":"L.","non-dropping-particle":"","parse-names":false,"suffix":""},{"dropping-particle":"","family":"Xie","given":"J.","non-dropping-particle":"","parse-names":false,"suffix":""},{"dropping-particle":"","family":"Zhang","given":"L.","non-dropping-particle":"","parse-names":false,"suffix":""},{"dropping-particle":"","family":"Jiang","given":"Y.","non-dropping-particle":"","parse-names":false,"suffix":""},{"dropping-particle":"","family":"Luo","given":"X.","non-dropping-particle":"","parse-names":false,"suffix":""}],"container-title":"Biological Trace Element Research","id":"ITEM-1","issue":"1","issued":{"date-parts":[["2012"]]},"page":"32-37","title":"Development of a procedure to determine standardized mineral availabilities in soybean meal for broiler chicks","type":"article-journal","volume":"148"},"uris":["http://www.mendeley.com/documents/?uuid=d731fe8d-3127-4d62-b9c5-a7d8e7d568ef"]},{"id":"ITEM-2","itemData":{"abstract":"This study reevaluated the method of regressing of total P output against dietary P intake to simultaneously estimate true P digestibility and endogenous P loss in growing pigs fed either conventional or low-phytate soybean meal (SBM). Four isocaloric diets were formulated to contain increasing concentrations of each type of SBM (8 diets total), and therefore contained increasing concentrations of dietary P. Dietary P and Ca concentrations were deficient because they were supplied solely by SBM, and Ca:total P ratios were less than 1:1. Sixteen barrows (initial BW 17.7 ± 1.8 kg) were surgically fitted with a simple T-cannula at the distal ileum, randomly assigned to metabolism crates, and fed the experimental diets in a replicated 8 × 8 Latin square design. Feed was provided at 90 g/kg of BW0.75 and fed in 2 equally sized meals at 0800 and 2000, with diets containing Cr sesquioxide (3 g/kg) as an indigestible marker. As the P concentration increased from 0.9 to 3.9 g/kg of DM, the apparent prececal P digestibility increased for conventional SBM (P &lt; 0.05), but no relationship was observed for low-phytate SBM. The output of total P [mg/(kg of BW0.75·d)], either prececal or total tract, exhibited a linear relationship (P &lt; 0.01) with increasing P intake. However, a quadratic response (P = 0.02) was also detected for total tract P output from pigs fed low-phytate SBM. True P digestibility was not different between prececal and total tract collection sites (P &gt; 0.10), but was greater (P &lt; 0.01) for low-phytate SBM (62.6%) compared with conventional SBM (44.5%). Endogenous P estimates were not different between the SBM varieties and averaged 4.83 mg/(kg of BW0.75·d). However, endogenous P estimates were highly variable between individual animals and, therefore, were not significantly different from zero. In this study, estimates of endogenous P loss from pigs were relatively low compared with previously reported values, and evidence of nonlinearity in P output was observed. These results suggest that the difference in true P digestibility between conventional SBM and low-phytate SBM is influenced by dietary phytate content when growing pigs are fed P-deficient diets.","author":[{"dropping-particle":"","family":"Dilger","given":"R. N.","non-dropping-particle":"","parse-names":false,"suffix":""},{"dropping-particle":"","family":"Adeola","given":"O.","non-dropping-particle":"","parse-names":false,"suffix":""}],"container-title":"Journal of Animal Science","id":"ITEM-2","issue":"3","issued":{"date-parts":[["2006"]]},"page":"627-634","title":"Estimation of true phosphorus digestibility and endogenous phosphorus loss in growing pigs fed conventional and low-phytate soybean meals","type":"article-journal","volume":"84"},"uris":["http://www.mendeley.com/documents/?uuid=ba7f4aa6-0f21-433d-91f1-6b910bf4b31a"]}],"mendeley":{"formattedCitation":"(R. N. Dilger and Adeola 2006; S. Liu et al. 2012)","manualFormatting":"(Dilger and Adeola, 2006b; Liu et al., 2012b)","plainTextFormattedCitation":"(R. N. Dilger and Adeola 2006; S. Liu et al. 2012)","previouslyFormattedCitation":"(R. N. Dilger and Adeola, 2006; S. Liu et al., 2012)"},"properties":{"noteIndex":0},"schema":"https://github.com/citation-style-language/schema/raw/master/csl-citation.json"}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BB27AA" w:rsidRPr="00E747A2">
        <w:rPr>
          <w:rFonts w:ascii="Times New Roman" w:hAnsi="Times New Roman"/>
          <w:noProof/>
          <w:color w:val="auto"/>
          <w:sz w:val="24"/>
          <w:szCs w:val="24"/>
          <w:lang w:eastAsia="zh-CN"/>
        </w:rPr>
        <w:t>(Dilger and</w:t>
      </w:r>
      <w:r w:rsidR="00A7682C" w:rsidRPr="00E747A2">
        <w:rPr>
          <w:rFonts w:ascii="Times New Roman" w:hAnsi="Times New Roman"/>
          <w:noProof/>
          <w:color w:val="auto"/>
          <w:sz w:val="24"/>
          <w:szCs w:val="24"/>
          <w:lang w:eastAsia="zh-CN"/>
        </w:rPr>
        <w:t xml:space="preserve"> Adeola, 2006b; </w:t>
      </w:r>
      <w:r w:rsidR="00AB3728" w:rsidRPr="00E747A2">
        <w:rPr>
          <w:rFonts w:ascii="Times New Roman" w:hAnsi="Times New Roman"/>
          <w:noProof/>
          <w:color w:val="auto"/>
          <w:sz w:val="24"/>
          <w:szCs w:val="24"/>
          <w:lang w:eastAsia="zh-CN"/>
        </w:rPr>
        <w:t>Liu et al., 2012</w:t>
      </w:r>
      <w:r w:rsidR="00300BD3" w:rsidRPr="00E747A2">
        <w:rPr>
          <w:rFonts w:ascii="Times New Roman" w:hAnsi="Times New Roman"/>
          <w:noProof/>
          <w:color w:val="auto"/>
          <w:sz w:val="24"/>
          <w:szCs w:val="24"/>
          <w:lang w:eastAsia="zh-CN"/>
        </w:rPr>
        <w:t>b</w:t>
      </w:r>
      <w:r w:rsidR="00AB3728" w:rsidRPr="00E747A2">
        <w:rPr>
          <w:rFonts w:ascii="Times New Roman" w:hAnsi="Times New Roman"/>
          <w:noProof/>
          <w:color w:val="auto"/>
          <w:sz w:val="24"/>
          <w:szCs w:val="24"/>
          <w:lang w:eastAsia="zh-CN"/>
        </w:rPr>
        <w:t>)</w:t>
      </w:r>
      <w:r w:rsidR="00382493" w:rsidRPr="00E747A2">
        <w:rPr>
          <w:rFonts w:ascii="Times New Roman" w:hAnsi="Times New Roman"/>
          <w:color w:val="auto"/>
          <w:sz w:val="24"/>
          <w:szCs w:val="24"/>
          <w:lang w:eastAsia="zh-CN"/>
        </w:rPr>
        <w:fldChar w:fldCharType="end"/>
      </w:r>
      <w:r w:rsidR="0099365D" w:rsidRPr="00E747A2">
        <w:rPr>
          <w:rFonts w:ascii="Times New Roman" w:hAnsi="Times New Roman"/>
          <w:color w:val="auto"/>
          <w:sz w:val="24"/>
          <w:szCs w:val="24"/>
          <w:lang w:eastAsia="zh-CN"/>
        </w:rPr>
        <w:t xml:space="preserve">, the data of apparent digestibility could be corrected into true digestibility and true availability by determining and deducting </w:t>
      </w:r>
      <w:r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 xml:space="preserve">endogenous </w:t>
      </w:r>
      <w:r w:rsidR="007F6307" w:rsidRPr="00E747A2">
        <w:rPr>
          <w:rFonts w:ascii="Times New Roman" w:hAnsi="Times New Roman"/>
          <w:color w:val="auto"/>
          <w:sz w:val="24"/>
          <w:szCs w:val="24"/>
          <w:lang w:eastAsia="zh-CN"/>
        </w:rPr>
        <w:t xml:space="preserve">P </w:t>
      </w:r>
      <w:r w:rsidR="007F6307">
        <w:rPr>
          <w:rFonts w:ascii="Times New Roman" w:hAnsi="Times New Roman"/>
          <w:color w:val="auto"/>
          <w:sz w:val="24"/>
          <w:szCs w:val="24"/>
          <w:lang w:eastAsia="zh-CN"/>
        </w:rPr>
        <w:t>loss value</w:t>
      </w:r>
      <w:r w:rsidR="0099365D" w:rsidRPr="00E747A2">
        <w:rPr>
          <w:rFonts w:ascii="Times New Roman" w:hAnsi="Times New Roman"/>
          <w:color w:val="auto"/>
          <w:sz w:val="24"/>
          <w:szCs w:val="24"/>
          <w:lang w:eastAsia="zh-CN"/>
        </w:rPr>
        <w:t xml:space="preserve">. </w:t>
      </w:r>
      <w:r w:rsidR="00ED08B7" w:rsidRPr="00E747A2">
        <w:rPr>
          <w:rFonts w:ascii="Times New Roman" w:hAnsi="Times New Roman"/>
          <w:color w:val="auto"/>
          <w:sz w:val="24"/>
          <w:szCs w:val="24"/>
          <w:lang w:eastAsia="zh-CN"/>
        </w:rPr>
        <w:t>The</w:t>
      </w:r>
      <w:r w:rsidR="0099365D" w:rsidRPr="00E747A2">
        <w:rPr>
          <w:rFonts w:ascii="Times New Roman" w:hAnsi="Times New Roman"/>
          <w:color w:val="auto"/>
          <w:sz w:val="24"/>
          <w:szCs w:val="24"/>
          <w:lang w:eastAsia="zh-CN"/>
        </w:rPr>
        <w:t xml:space="preserve"> true digestibility or availability is more reliable and additive because </w:t>
      </w:r>
      <w:r w:rsidRPr="00E747A2">
        <w:rPr>
          <w:rFonts w:ascii="Times New Roman" w:hAnsi="Times New Roman"/>
          <w:color w:val="auto"/>
          <w:sz w:val="24"/>
          <w:szCs w:val="24"/>
          <w:lang w:eastAsia="zh-CN"/>
        </w:rPr>
        <w:t xml:space="preserve">of </w:t>
      </w:r>
      <w:r w:rsidR="0099365D" w:rsidRPr="00E747A2">
        <w:rPr>
          <w:rFonts w:ascii="Times New Roman" w:hAnsi="Times New Roman"/>
          <w:color w:val="auto"/>
          <w:sz w:val="24"/>
          <w:szCs w:val="24"/>
          <w:lang w:eastAsia="zh-CN"/>
        </w:rPr>
        <w:t xml:space="preserve">the influence from dietary </w:t>
      </w:r>
      <w:r w:rsidR="007F6307" w:rsidRPr="00E747A2">
        <w:rPr>
          <w:rFonts w:ascii="Times New Roman" w:hAnsi="Times New Roman"/>
          <w:color w:val="auto"/>
          <w:sz w:val="24"/>
          <w:szCs w:val="24"/>
          <w:lang w:eastAsia="zh-CN"/>
        </w:rPr>
        <w:t xml:space="preserve">factors </w:t>
      </w:r>
      <w:r w:rsidR="007F6307">
        <w:rPr>
          <w:rFonts w:ascii="Times New Roman" w:hAnsi="Times New Roman"/>
          <w:color w:val="auto"/>
          <w:sz w:val="24"/>
          <w:szCs w:val="24"/>
          <w:lang w:eastAsia="zh-CN"/>
        </w:rPr>
        <w:t xml:space="preserve">and </w:t>
      </w:r>
      <w:r w:rsidR="007F6307" w:rsidRPr="00E747A2">
        <w:rPr>
          <w:rFonts w:ascii="Times New Roman" w:hAnsi="Times New Roman"/>
          <w:color w:val="auto"/>
          <w:sz w:val="24"/>
          <w:szCs w:val="24"/>
          <w:lang w:eastAsia="zh-CN"/>
        </w:rPr>
        <w:t xml:space="preserve">interference from endogenous loss of P </w:t>
      </w:r>
      <w:r w:rsidR="0099365D" w:rsidRPr="00E747A2">
        <w:rPr>
          <w:rFonts w:ascii="Times New Roman" w:hAnsi="Times New Roman"/>
          <w:color w:val="auto"/>
          <w:sz w:val="24"/>
          <w:szCs w:val="24"/>
          <w:lang w:eastAsia="zh-CN"/>
        </w:rPr>
        <w:t>has been eliminat</w:t>
      </w:r>
      <w:r w:rsidR="00ED08B7" w:rsidRPr="00E747A2">
        <w:rPr>
          <w:rFonts w:ascii="Times New Roman" w:hAnsi="Times New Roman"/>
          <w:color w:val="auto"/>
          <w:sz w:val="24"/>
          <w:szCs w:val="24"/>
          <w:lang w:eastAsia="zh-CN"/>
        </w:rPr>
        <w:t>ed</w:t>
      </w:r>
      <w:r w:rsidR="0099365D" w:rsidRPr="00E747A2">
        <w:rPr>
          <w:rFonts w:ascii="Times New Roman" w:hAnsi="Times New Roman"/>
          <w:color w:val="auto"/>
          <w:sz w:val="24"/>
          <w:szCs w:val="24"/>
          <w:lang w:eastAsia="zh-CN"/>
        </w:rPr>
        <w:t xml:space="preserve">. However, evaluation of </w:t>
      </w:r>
      <w:r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 xml:space="preserve">true availability of P, especially for broilers chicken </w:t>
      </w:r>
      <w:r w:rsidR="007F6307">
        <w:rPr>
          <w:rFonts w:ascii="Times New Roman" w:hAnsi="Times New Roman"/>
          <w:color w:val="auto"/>
          <w:sz w:val="24"/>
          <w:szCs w:val="24"/>
          <w:lang w:eastAsia="zh-CN"/>
        </w:rPr>
        <w:t>is lacking</w:t>
      </w:r>
      <w:r w:rsidR="0099365D" w:rsidRPr="00E747A2">
        <w:rPr>
          <w:rFonts w:ascii="Times New Roman" w:hAnsi="Times New Roman"/>
          <w:color w:val="auto"/>
          <w:sz w:val="24"/>
          <w:szCs w:val="24"/>
          <w:lang w:eastAsia="zh-CN"/>
        </w:rPr>
        <w:t>.</w:t>
      </w:r>
    </w:p>
    <w:p w:rsidR="0099365D" w:rsidRPr="00E747A2" w:rsidRDefault="00951503" w:rsidP="00F154BD">
      <w:pPr>
        <w:pStyle w:val="MDPI31text"/>
        <w:spacing w:line="480" w:lineRule="auto"/>
        <w:ind w:firstLine="420"/>
        <w:rPr>
          <w:rFonts w:ascii="Times New Roman" w:hAnsi="Times New Roman"/>
          <w:color w:val="auto"/>
          <w:sz w:val="24"/>
          <w:szCs w:val="24"/>
          <w:lang w:eastAsia="zh-CN"/>
        </w:rPr>
      </w:pPr>
      <w:r w:rsidRPr="00E747A2">
        <w:rPr>
          <w:rFonts w:ascii="Times New Roman" w:hAnsi="Times New Roman"/>
          <w:color w:val="auto"/>
          <w:sz w:val="24"/>
          <w:szCs w:val="24"/>
          <w:lang w:eastAsia="zh-CN"/>
        </w:rPr>
        <w:t>A</w:t>
      </w:r>
      <w:r w:rsidR="0099365D" w:rsidRPr="00E747A2">
        <w:rPr>
          <w:rFonts w:ascii="Times New Roman" w:hAnsi="Times New Roman"/>
          <w:color w:val="auto"/>
          <w:sz w:val="24"/>
          <w:szCs w:val="24"/>
          <w:lang w:eastAsia="zh-CN"/>
        </w:rPr>
        <w:t xml:space="preserve">s a new route to improve </w:t>
      </w:r>
      <w:r w:rsidR="00D4444C"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 xml:space="preserve">bio-availability of phosphorus in </w:t>
      </w:r>
      <w:r w:rsidR="00FC351C"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 xml:space="preserve">animal feed, phytase has widely used as a feed additive to increase the P digestibility of feeds in monogastric animals </w:t>
      </w:r>
      <w:r w:rsidR="00382493" w:rsidRPr="00E747A2">
        <w:rPr>
          <w:rFonts w:ascii="Times New Roman" w:hAnsi="Times New Roman"/>
          <w:color w:val="auto"/>
          <w:sz w:val="24"/>
          <w:szCs w:val="24"/>
          <w:lang w:eastAsia="zh-CN"/>
        </w:rPr>
        <w:fldChar w:fldCharType="begin" w:fldLock="1"/>
      </w:r>
      <w:r w:rsidR="000877D7">
        <w:rPr>
          <w:rFonts w:ascii="Times New Roman" w:hAnsi="Times New Roman"/>
          <w:color w:val="auto"/>
          <w:sz w:val="24"/>
          <w:szCs w:val="24"/>
          <w:lang w:eastAsia="zh-CN"/>
        </w:rPr>
        <w:instrText>ADDIN CSL_CITATION {"citationItems":[{"id":"ITEM-1","itemData":{"author":[{"dropping-particle":"","family":"Englen","given":"A.J.","non-dropping-particle":"","parse-names":false,"suffix":""},{"dropping-particle":"","family":"Heeft van der","given":"F.C.","non-dropping-particle":"","parse-names":false,"suffix":""},{"dropping-particle":"","family":"Randsdrop","given":"P.H.","non-dropping-particle":"","parse-names":false,"suffix":""},{"dropping-particle":"","family":"Somers","given":"W.A.","non-dropping-particle":"","parse-names":false,"suffix":""},{"dropping-particle":"","family":"Schaefer.J.","given":"","non-dropping-particle":"","parse-names":false,"suffix":""},{"dropping-particle":"","family":"vat van der","given":"B.J.","non-dropping-particle":"","parse-names":false,"suffix":""}],"container-title":"Journal of AOAC International","id":"ITEM-1","issue":"3","issued":{"date-parts":[["2001"]]},"page":"629-633","title":"Determination of phytase activity in feed by a colorimetric enzymatic method: collaborative interlaboratory study","type":"article-journal","volume":"84"},"uris":["http://www.mendeley.com/documents/?uuid=3dfeeff2-74b0-4caa-a5b1-6ce3d5a6209b"]}],"mendeley":{"formattedCitation":"(Englen et al. 2001)","manualFormatting":"(Englen et al., 2001)","plainTextFormattedCitation":"(Englen et al. 2001)","previouslyFormattedCitation":"(Englen et al., 2001)"},"properties":{"noteIndex":0},"schema":"https://github.com/citation-style-language/schema/raw/master/csl-citation.json"}</w:instrText>
      </w:r>
      <w:r w:rsidR="00382493" w:rsidRPr="00E747A2">
        <w:rPr>
          <w:rFonts w:ascii="Times New Roman" w:hAnsi="Times New Roman"/>
          <w:color w:val="auto"/>
          <w:sz w:val="24"/>
          <w:szCs w:val="24"/>
          <w:lang w:eastAsia="zh-CN"/>
        </w:rPr>
        <w:fldChar w:fldCharType="separate"/>
      </w:r>
      <w:r w:rsidR="0036522F" w:rsidRPr="00E747A2">
        <w:rPr>
          <w:rFonts w:ascii="Times New Roman" w:hAnsi="Times New Roman"/>
          <w:noProof/>
          <w:color w:val="auto"/>
          <w:sz w:val="24"/>
          <w:szCs w:val="24"/>
          <w:lang w:eastAsia="zh-CN"/>
        </w:rPr>
        <w:t>(Englen et al.</w:t>
      </w:r>
      <w:r w:rsidR="00AF3B8B" w:rsidRPr="00E747A2">
        <w:rPr>
          <w:rFonts w:ascii="Times New Roman" w:hAnsi="Times New Roman"/>
          <w:noProof/>
          <w:color w:val="auto"/>
          <w:sz w:val="24"/>
          <w:szCs w:val="24"/>
          <w:lang w:eastAsia="zh-CN"/>
        </w:rPr>
        <w:t>,</w:t>
      </w:r>
      <w:r w:rsidR="0036522F" w:rsidRPr="00E747A2">
        <w:rPr>
          <w:rFonts w:ascii="Times New Roman" w:hAnsi="Times New Roman"/>
          <w:noProof/>
          <w:color w:val="auto"/>
          <w:sz w:val="24"/>
          <w:szCs w:val="24"/>
          <w:lang w:eastAsia="zh-CN"/>
        </w:rPr>
        <w:t xml:space="preserve"> 2001)</w:t>
      </w:r>
      <w:r w:rsidR="00382493" w:rsidRPr="00E747A2">
        <w:rPr>
          <w:rFonts w:ascii="Times New Roman" w:hAnsi="Times New Roman"/>
          <w:color w:val="auto"/>
          <w:sz w:val="24"/>
          <w:szCs w:val="24"/>
          <w:lang w:eastAsia="zh-CN"/>
        </w:rPr>
        <w:fldChar w:fldCharType="end"/>
      </w:r>
      <w:r w:rsidR="00C90152" w:rsidRPr="00E747A2">
        <w:rPr>
          <w:rFonts w:ascii="Times New Roman" w:hAnsi="Times New Roman"/>
          <w:color w:val="auto"/>
          <w:sz w:val="24"/>
          <w:szCs w:val="24"/>
          <w:lang w:eastAsia="zh-CN"/>
        </w:rPr>
        <w:t xml:space="preserve">. </w:t>
      </w:r>
      <w:r w:rsidR="00ED08B7" w:rsidRPr="00E747A2">
        <w:rPr>
          <w:rFonts w:ascii="Times New Roman" w:hAnsi="Times New Roman"/>
          <w:color w:val="auto"/>
          <w:sz w:val="24"/>
          <w:szCs w:val="24"/>
          <w:lang w:eastAsia="zh-CN"/>
        </w:rPr>
        <w:t>To understand the exact effect</w:t>
      </w:r>
      <w:r w:rsidR="00473987" w:rsidRPr="00E747A2">
        <w:rPr>
          <w:rFonts w:ascii="Times New Roman" w:hAnsi="Times New Roman"/>
          <w:color w:val="auto"/>
          <w:sz w:val="24"/>
          <w:szCs w:val="24"/>
          <w:lang w:eastAsia="zh-CN"/>
        </w:rPr>
        <w:t xml:space="preserve"> of phytase, different research works  were </w:t>
      </w:r>
      <w:r w:rsidR="0099365D" w:rsidRPr="00E747A2">
        <w:rPr>
          <w:rFonts w:ascii="Times New Roman" w:hAnsi="Times New Roman"/>
          <w:color w:val="auto"/>
          <w:sz w:val="24"/>
          <w:szCs w:val="24"/>
          <w:lang w:eastAsia="zh-CN"/>
        </w:rPr>
        <w:t>tried building the equivalent relationship between phytase and inorganic P</w:t>
      </w:r>
      <w:r w:rsidR="00F154BD">
        <w:rPr>
          <w:rFonts w:ascii="Times New Roman" w:hAnsi="Times New Roman"/>
          <w:color w:val="auto"/>
          <w:sz w:val="24"/>
          <w:szCs w:val="24"/>
          <w:lang w:eastAsia="zh-CN"/>
        </w:rPr>
        <w:t xml:space="preserve"> </w:t>
      </w:r>
      <w:r w:rsidR="00382493" w:rsidRPr="00E747A2">
        <w:rPr>
          <w:rFonts w:ascii="Times New Roman" w:hAnsi="Times New Roman"/>
          <w:color w:val="auto"/>
          <w:sz w:val="24"/>
          <w:szCs w:val="24"/>
        </w:rPr>
        <w:fldChar w:fldCharType="begin" w:fldLock="1"/>
      </w:r>
      <w:r w:rsidR="000877D7">
        <w:rPr>
          <w:rFonts w:ascii="Times New Roman" w:hAnsi="Times New Roman"/>
          <w:color w:val="auto"/>
          <w:sz w:val="24"/>
          <w:szCs w:val="24"/>
        </w:rPr>
        <w:instrText>ADDIN CSL_CITATION {"citationItems":[{"id":"ITEM-1","itemData":{"author":[{"dropping-particle":"","family":"Adedokun","given":"S A","non-dropping-particle":"","parse-names":false,"suffix":""},{"dropping-particle":"","family":"Sands","given":"J S","non-dropping-particle":"","parse-names":false,"suffix":""},{"dropping-particle":"","family":"Adeola","given":"O","non-dropping-particle":"","parse-names":false,"suffix":""}],"container-title":"Journal of Animal Science","id":"ITEM-1","issued":{"date-parts":[["2004"]]},"page":"437-444","title":"Determining the equivalent phosphorus released by an Escherichia coli -derived phytase in broiler chicks","type":"article-journal","volume":"84"},"uris":["http://www.mendeley.com/documents/?uuid=f20be3b2-a87a-49ef-a9c8-27b7bb1a55c0"]},{"id":"ITEM-2","itemData":{"abstract":"During the past decade, the inclusion of microbial phytase in poultry diets has increased remarkably, mainly in response to heightened concerns over phosphorus (P) pollution of the environment. The capacity of this feed enzyme to release phytate-bound P and reduce P excretion is now well documented. Effectively, phytase is an alternative, economical P source and, as global phosphate reserves are not renewable, this is beneficial to their preservation. Based on limited studies, it appears that exogenous phytase hydrolyses less than 0.35 of dietary phytate in broilers at the ileal level. If so, there is considerable scope to enhance phytate degradation by the introduction of more effective phytate-degrading enzymes or enzyme combinations, and facilitative nutritional and management strategies. Alternatively, dietary phytate concentrations may be reduced by the inclusion of selected, low-phytate feedstuffs or dephytinised feed ingredients. There is a distinct possibility that phytate negatively influences protein and energy utilisation in poultry and, as these influences would be ameliorated by phytase, there are substantial, practical implications. Nevertheless, there is still no consensus as to the extent that phytase enhances protein and energy utilisation. Responses in amino acid digestibilities following phytase supplementation are variable and the underlying mechanisms have not been completely understood; consequently, these two aspects are considered in detail in this review. The impact of phytase on protein and energy utilisation may be more positive than generally realised, but this should become increasingly evident if greater phytate degradation rates can be achieved. The experimental use of dephytinised feed ingredients may define the negative impact of phytate on protein and energy utilisation and facilitate the identification of the contributing factors, particularly in relation to energy utilisation. Some recent studies suggest that phytate increases, and phytase decreases, endogenous sodium losses. Although the basis for this phytate-induced shift of sodium into the gut lumen is not clear, it may have implications for acid-base homeostasis and intestinal uptakes of glucose and amino acids. If the momentum in the practical acceptance of microbial phytase in poultry diets continues, it is likely that phytase feed enzymes will re-define nutrient requirements, particularly in relation to P and calcium, and increasingly contribute to ecologicall…","author":[{"dropping-particle":"","family":"Selle","given":"P. H.","non-dropping-particle":"","parse-names":false,"suffix":""},{"dropping-particle":"","family":"Ravindran","given":"V.","non-dropping-particle":"","parse-names":false,"suffix":""}],"container-title":"Animal Feed Science and Technology","id":"ITEM-2","issue":"1-2","issued":{"date-parts":[["2007"]]},"page":"1-41","title":"Microbial phytase in poultry nutrition","type":"article-journal","volume":"135"},"uris":["http://www.mendeley.com/documents/?uuid=bd28d4d9-e2ea-44fe-a77f-c9b1b965d2ce"]}],"mendeley":{"formattedCitation":"(Adedokun, Sands, and Adeola 2004; Selle and Ravindran 2007)","manualFormatting":"(Adedokun et al., 2004; Selle &amp; Ravindran, 2007)","plainTextFormattedCitation":"(Adedokun, Sands, and Adeola 2004; Selle and Ravindran 2007)","previouslyFormattedCitation":"(Adedokun et al., 2004; Selle and Ravindran, 2007)"},"properties":{"noteIndex":0},"schema":"https://github.com/citation-style-language/schema/raw/master/csl-citation.json"}</w:instrText>
      </w:r>
      <w:r w:rsidR="00382493" w:rsidRPr="00E747A2">
        <w:rPr>
          <w:rFonts w:ascii="Times New Roman" w:hAnsi="Times New Roman"/>
          <w:color w:val="auto"/>
          <w:sz w:val="24"/>
          <w:szCs w:val="24"/>
        </w:rPr>
        <w:fldChar w:fldCharType="separate"/>
      </w:r>
      <w:r w:rsidR="00F154BD" w:rsidRPr="00E747A2">
        <w:rPr>
          <w:rFonts w:ascii="Times New Roman" w:hAnsi="Times New Roman"/>
          <w:noProof/>
          <w:color w:val="auto"/>
          <w:sz w:val="24"/>
          <w:szCs w:val="24"/>
        </w:rPr>
        <w:t>(Adedokun et al., 2004; Selle &amp; Ravindran, 2007)</w:t>
      </w:r>
      <w:r w:rsidR="00382493" w:rsidRPr="00E747A2">
        <w:rPr>
          <w:rFonts w:ascii="Times New Roman" w:hAnsi="Times New Roman"/>
          <w:color w:val="auto"/>
          <w:sz w:val="24"/>
          <w:szCs w:val="24"/>
        </w:rPr>
        <w:fldChar w:fldCharType="end"/>
      </w:r>
      <w:r w:rsidR="0099365D" w:rsidRPr="00E747A2">
        <w:rPr>
          <w:rFonts w:ascii="Times New Roman" w:hAnsi="Times New Roman"/>
          <w:color w:val="auto"/>
          <w:sz w:val="24"/>
          <w:szCs w:val="24"/>
          <w:lang w:eastAsia="zh-CN"/>
        </w:rPr>
        <w:t xml:space="preserve">. Nevertheless, these results were </w:t>
      </w:r>
      <w:r w:rsidR="00F154BD">
        <w:rPr>
          <w:rFonts w:ascii="Times New Roman" w:hAnsi="Times New Roman"/>
          <w:color w:val="auto"/>
          <w:sz w:val="24"/>
          <w:szCs w:val="24"/>
          <w:lang w:eastAsia="zh-CN"/>
        </w:rPr>
        <w:t xml:space="preserve">obtained </w:t>
      </w:r>
      <w:r w:rsidR="0099365D" w:rsidRPr="00E747A2">
        <w:rPr>
          <w:rFonts w:ascii="Times New Roman" w:hAnsi="Times New Roman"/>
          <w:color w:val="auto"/>
          <w:sz w:val="24"/>
          <w:szCs w:val="24"/>
          <w:lang w:eastAsia="zh-CN"/>
        </w:rPr>
        <w:lastRenderedPageBreak/>
        <w:t xml:space="preserve">from experiments </w:t>
      </w:r>
      <w:r w:rsidR="00F154BD">
        <w:rPr>
          <w:rFonts w:ascii="Times New Roman" w:hAnsi="Times New Roman"/>
          <w:color w:val="auto"/>
          <w:sz w:val="24"/>
          <w:szCs w:val="24"/>
          <w:lang w:eastAsia="zh-CN"/>
        </w:rPr>
        <w:t>conducted using</w:t>
      </w:r>
      <w:r w:rsidR="0099365D" w:rsidRPr="00E747A2">
        <w:rPr>
          <w:rFonts w:ascii="Times New Roman" w:hAnsi="Times New Roman"/>
          <w:color w:val="auto"/>
          <w:sz w:val="24"/>
          <w:szCs w:val="24"/>
          <w:lang w:eastAsia="zh-CN"/>
        </w:rPr>
        <w:t xml:space="preserve"> complete diets, which </w:t>
      </w:r>
      <w:r w:rsidR="00F154BD">
        <w:rPr>
          <w:rFonts w:ascii="Times New Roman" w:hAnsi="Times New Roman"/>
          <w:color w:val="auto"/>
          <w:sz w:val="24"/>
          <w:szCs w:val="24"/>
          <w:lang w:eastAsia="zh-CN"/>
        </w:rPr>
        <w:t>lacked variation</w:t>
      </w:r>
      <w:r w:rsidR="0099365D" w:rsidRPr="00E747A2">
        <w:rPr>
          <w:rFonts w:ascii="Times New Roman" w:hAnsi="Times New Roman"/>
          <w:color w:val="auto"/>
          <w:sz w:val="24"/>
          <w:szCs w:val="24"/>
          <w:lang w:eastAsia="zh-CN"/>
        </w:rPr>
        <w:t xml:space="preserve"> among different plant ingredients. </w:t>
      </w:r>
      <w:r w:rsidR="00473987" w:rsidRPr="00E747A2">
        <w:rPr>
          <w:rFonts w:ascii="Times New Roman" w:hAnsi="Times New Roman"/>
          <w:color w:val="auto"/>
          <w:sz w:val="24"/>
          <w:szCs w:val="24"/>
          <w:lang w:eastAsia="zh-CN"/>
        </w:rPr>
        <w:t xml:space="preserve">The </w:t>
      </w:r>
      <w:r w:rsidR="00F154BD">
        <w:rPr>
          <w:rFonts w:ascii="Times New Roman" w:hAnsi="Times New Roman"/>
          <w:color w:val="auto"/>
          <w:sz w:val="24"/>
          <w:szCs w:val="24"/>
          <w:lang w:eastAsia="zh-CN"/>
        </w:rPr>
        <w:t xml:space="preserve">above </w:t>
      </w:r>
      <w:r w:rsidR="00473987" w:rsidRPr="00E747A2">
        <w:rPr>
          <w:rFonts w:ascii="Times New Roman" w:hAnsi="Times New Roman"/>
          <w:color w:val="auto"/>
          <w:sz w:val="24"/>
          <w:szCs w:val="24"/>
          <w:lang w:eastAsia="zh-CN"/>
        </w:rPr>
        <w:t>literature data shows</w:t>
      </w:r>
      <w:r w:rsidR="0099365D" w:rsidRPr="00E747A2">
        <w:rPr>
          <w:rFonts w:ascii="Times New Roman" w:hAnsi="Times New Roman"/>
          <w:color w:val="auto"/>
          <w:sz w:val="24"/>
          <w:szCs w:val="24"/>
          <w:lang w:eastAsia="zh-CN"/>
        </w:rPr>
        <w:t xml:space="preserve"> there is </w:t>
      </w:r>
      <w:r w:rsidR="00FC351C" w:rsidRPr="00E747A2">
        <w:rPr>
          <w:rFonts w:ascii="Times New Roman" w:hAnsi="Times New Roman"/>
          <w:color w:val="auto"/>
          <w:sz w:val="24"/>
          <w:szCs w:val="24"/>
          <w:lang w:eastAsia="zh-CN"/>
        </w:rPr>
        <w:t xml:space="preserve">a </w:t>
      </w:r>
      <w:r w:rsidR="00E93A08" w:rsidRPr="00E747A2">
        <w:rPr>
          <w:rFonts w:ascii="Times New Roman" w:hAnsi="Times New Roman"/>
          <w:color w:val="auto"/>
          <w:sz w:val="24"/>
          <w:szCs w:val="24"/>
          <w:lang w:eastAsia="zh-CN"/>
        </w:rPr>
        <w:t>big variation</w:t>
      </w:r>
      <w:r w:rsidR="0099365D" w:rsidRPr="00E747A2">
        <w:rPr>
          <w:rFonts w:ascii="Times New Roman" w:hAnsi="Times New Roman"/>
          <w:color w:val="auto"/>
          <w:sz w:val="24"/>
          <w:szCs w:val="24"/>
          <w:lang w:eastAsia="zh-CN"/>
        </w:rPr>
        <w:t xml:space="preserve"> between the responses of various feed ingredients to phytase addition. U</w:t>
      </w:r>
      <w:r w:rsidR="00D4444C" w:rsidRPr="00E747A2">
        <w:rPr>
          <w:rFonts w:ascii="Times New Roman" w:hAnsi="Times New Roman"/>
          <w:color w:val="auto"/>
          <w:sz w:val="24"/>
          <w:szCs w:val="24"/>
          <w:lang w:eastAsia="zh-CN"/>
        </w:rPr>
        <w:t>nfortunately, there are scarce</w:t>
      </w:r>
      <w:r w:rsidR="0099365D" w:rsidRPr="00E747A2">
        <w:rPr>
          <w:rFonts w:ascii="Times New Roman" w:hAnsi="Times New Roman"/>
          <w:color w:val="auto"/>
          <w:sz w:val="24"/>
          <w:szCs w:val="24"/>
          <w:lang w:eastAsia="zh-CN"/>
        </w:rPr>
        <w:t xml:space="preserve"> reports </w:t>
      </w:r>
      <w:r w:rsidR="00E93A08" w:rsidRPr="00E747A2">
        <w:rPr>
          <w:rFonts w:ascii="Times New Roman" w:hAnsi="Times New Roman"/>
          <w:color w:val="auto"/>
          <w:sz w:val="24"/>
          <w:szCs w:val="24"/>
          <w:lang w:eastAsia="zh-CN"/>
        </w:rPr>
        <w:t xml:space="preserve">which </w:t>
      </w:r>
      <w:r w:rsidR="0099365D" w:rsidRPr="00E747A2">
        <w:rPr>
          <w:rFonts w:ascii="Times New Roman" w:hAnsi="Times New Roman"/>
          <w:color w:val="auto"/>
          <w:sz w:val="24"/>
          <w:szCs w:val="24"/>
          <w:lang w:eastAsia="zh-CN"/>
        </w:rPr>
        <w:t xml:space="preserve">compare the effect </w:t>
      </w:r>
      <w:r w:rsidR="00610CB1" w:rsidRPr="00E747A2">
        <w:rPr>
          <w:rFonts w:ascii="Times New Roman" w:hAnsi="Times New Roman"/>
          <w:color w:val="auto"/>
          <w:sz w:val="24"/>
          <w:szCs w:val="24"/>
          <w:lang w:eastAsia="zh-CN"/>
        </w:rPr>
        <w:t xml:space="preserve">of phytase </w:t>
      </w:r>
      <w:r w:rsidR="00E93A08" w:rsidRPr="00E747A2">
        <w:rPr>
          <w:rFonts w:ascii="Times New Roman" w:hAnsi="Times New Roman"/>
          <w:color w:val="auto"/>
          <w:sz w:val="24"/>
          <w:szCs w:val="24"/>
          <w:lang w:eastAsia="zh-CN"/>
        </w:rPr>
        <w:t>on digestion of P in different single feed ingredients</w:t>
      </w:r>
      <w:r w:rsidR="0099365D" w:rsidRPr="00E747A2">
        <w:rPr>
          <w:rFonts w:ascii="Times New Roman" w:hAnsi="Times New Roman"/>
          <w:color w:val="auto"/>
          <w:sz w:val="24"/>
          <w:szCs w:val="24"/>
          <w:lang w:eastAsia="zh-CN"/>
        </w:rPr>
        <w:t xml:space="preserve">. </w:t>
      </w:r>
      <w:r w:rsidR="00473987" w:rsidRPr="00E747A2">
        <w:rPr>
          <w:rFonts w:ascii="Times New Roman" w:hAnsi="Times New Roman"/>
          <w:color w:val="auto"/>
          <w:sz w:val="24"/>
          <w:szCs w:val="24"/>
          <w:lang w:eastAsia="zh-CN"/>
        </w:rPr>
        <w:t xml:space="preserve">Therefore, </w:t>
      </w:r>
      <w:r w:rsidR="00D73148" w:rsidRPr="00E747A2">
        <w:rPr>
          <w:rFonts w:ascii="Times New Roman" w:hAnsi="Times New Roman"/>
          <w:color w:val="auto"/>
          <w:sz w:val="24"/>
          <w:szCs w:val="24"/>
          <w:lang w:eastAsia="zh-CN"/>
        </w:rPr>
        <w:t>this study aims at evaluating the availability of P in several feed ingredients for broiler chickens and investigates</w:t>
      </w:r>
      <w:r w:rsidR="0099365D" w:rsidRPr="00E747A2">
        <w:rPr>
          <w:rFonts w:ascii="Times New Roman" w:hAnsi="Times New Roman"/>
          <w:color w:val="auto"/>
          <w:sz w:val="24"/>
          <w:szCs w:val="24"/>
          <w:lang w:eastAsia="zh-CN"/>
        </w:rPr>
        <w:t xml:space="preserve"> the effect of microbial phytase addition on digestion o</w:t>
      </w:r>
      <w:r w:rsidR="00473987" w:rsidRPr="00E747A2">
        <w:rPr>
          <w:rFonts w:ascii="Times New Roman" w:hAnsi="Times New Roman"/>
          <w:color w:val="auto"/>
          <w:sz w:val="24"/>
          <w:szCs w:val="24"/>
          <w:lang w:eastAsia="zh-CN"/>
        </w:rPr>
        <w:t>f P in these single ingredients.</w:t>
      </w:r>
      <w:r w:rsidR="0099365D" w:rsidRPr="00E747A2">
        <w:rPr>
          <w:rFonts w:ascii="Times New Roman" w:hAnsi="Times New Roman"/>
          <w:color w:val="auto"/>
          <w:sz w:val="24"/>
          <w:szCs w:val="24"/>
          <w:lang w:eastAsia="zh-CN"/>
        </w:rPr>
        <w:t xml:space="preserve"> </w:t>
      </w:r>
      <w:r w:rsidR="00F154BD" w:rsidRPr="00E747A2">
        <w:rPr>
          <w:rFonts w:ascii="Times New Roman" w:hAnsi="Times New Roman"/>
          <w:color w:val="auto"/>
          <w:sz w:val="24"/>
          <w:szCs w:val="24"/>
          <w:lang w:eastAsia="zh-CN"/>
        </w:rPr>
        <w:t>These studies significantly contributed for enriching the feed database of availability of P for broiler chickens and understand</w:t>
      </w:r>
      <w:r w:rsidR="0099365D" w:rsidRPr="00E747A2">
        <w:rPr>
          <w:rFonts w:ascii="Times New Roman" w:hAnsi="Times New Roman"/>
          <w:color w:val="auto"/>
          <w:sz w:val="24"/>
          <w:szCs w:val="24"/>
          <w:lang w:eastAsia="zh-CN"/>
        </w:rPr>
        <w:t xml:space="preserve"> </w:t>
      </w:r>
      <w:r w:rsidR="00610CB1" w:rsidRPr="00E747A2">
        <w:rPr>
          <w:rFonts w:ascii="Times New Roman" w:hAnsi="Times New Roman"/>
          <w:color w:val="auto"/>
          <w:sz w:val="24"/>
          <w:szCs w:val="24"/>
          <w:lang w:eastAsia="zh-CN"/>
        </w:rPr>
        <w:t xml:space="preserve">the </w:t>
      </w:r>
      <w:r w:rsidR="0099365D" w:rsidRPr="00E747A2">
        <w:rPr>
          <w:rFonts w:ascii="Times New Roman" w:hAnsi="Times New Roman"/>
          <w:color w:val="auto"/>
          <w:sz w:val="24"/>
          <w:szCs w:val="24"/>
          <w:lang w:eastAsia="zh-CN"/>
        </w:rPr>
        <w:t>nutrient value of microbial phytase</w:t>
      </w:r>
      <w:r w:rsidR="0057736F" w:rsidRPr="00E747A2">
        <w:rPr>
          <w:rFonts w:ascii="Times New Roman" w:hAnsi="Times New Roman"/>
          <w:color w:val="auto"/>
          <w:sz w:val="24"/>
          <w:szCs w:val="24"/>
          <w:lang w:eastAsia="zh-CN"/>
        </w:rPr>
        <w:t xml:space="preserve"> profoundly</w:t>
      </w:r>
      <w:r w:rsidR="0099365D" w:rsidRPr="00E747A2">
        <w:rPr>
          <w:rFonts w:ascii="Times New Roman" w:hAnsi="Times New Roman"/>
          <w:color w:val="auto"/>
          <w:sz w:val="24"/>
          <w:szCs w:val="24"/>
          <w:lang w:eastAsia="zh-CN"/>
        </w:rPr>
        <w:t>.</w:t>
      </w:r>
    </w:p>
    <w:p w:rsidR="0099365D" w:rsidRPr="00E747A2" w:rsidRDefault="00F154BD" w:rsidP="00BE2D61">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Materials and M</w:t>
      </w:r>
      <w:r w:rsidR="005E0E2B" w:rsidRPr="00E747A2">
        <w:rPr>
          <w:rFonts w:ascii="Times New Roman" w:hAnsi="Times New Roman" w:cs="Times New Roman"/>
          <w:color w:val="auto"/>
          <w:sz w:val="24"/>
          <w:szCs w:val="24"/>
        </w:rPr>
        <w:t>ethods</w:t>
      </w:r>
    </w:p>
    <w:p w:rsidR="0099365D" w:rsidRPr="00E747A2" w:rsidRDefault="0099365D" w:rsidP="00BE2D61">
      <w:pPr>
        <w:spacing w:line="480" w:lineRule="auto"/>
        <w:rPr>
          <w:b/>
          <w:color w:val="auto"/>
        </w:rPr>
      </w:pPr>
      <w:r w:rsidRPr="00E747A2">
        <w:rPr>
          <w:color w:val="auto"/>
        </w:rPr>
        <w:t>The experiment</w:t>
      </w:r>
      <w:r w:rsidR="002412A4" w:rsidRPr="00E747A2">
        <w:rPr>
          <w:color w:val="auto"/>
        </w:rPr>
        <w:t>s</w:t>
      </w:r>
      <w:r w:rsidR="007E26B8" w:rsidRPr="00E747A2">
        <w:rPr>
          <w:color w:val="auto"/>
        </w:rPr>
        <w:t xml:space="preserve"> </w:t>
      </w:r>
      <w:r w:rsidR="002412A4" w:rsidRPr="00E747A2">
        <w:rPr>
          <w:color w:val="auto"/>
        </w:rPr>
        <w:t>were</w:t>
      </w:r>
      <w:r w:rsidR="007E26B8" w:rsidRPr="00E747A2">
        <w:rPr>
          <w:color w:val="auto"/>
        </w:rPr>
        <w:t xml:space="preserve"> </w:t>
      </w:r>
      <w:r w:rsidRPr="00E747A2">
        <w:rPr>
          <w:color w:val="auto"/>
        </w:rPr>
        <w:t>conducted at the poultry nutrition laboratory of Feed Resea</w:t>
      </w:r>
      <w:r w:rsidR="00FC351C" w:rsidRPr="00E747A2">
        <w:rPr>
          <w:color w:val="auto"/>
        </w:rPr>
        <w:t>rch Institute (FRI) of Chinese A</w:t>
      </w:r>
      <w:r w:rsidRPr="00E747A2">
        <w:rPr>
          <w:color w:val="auto"/>
        </w:rPr>
        <w:t xml:space="preserve">cademy of agricultural sciences (CAAS) following the procedure developed, reviewed and approved </w:t>
      </w:r>
      <w:r w:rsidR="00E93A08" w:rsidRPr="00E747A2">
        <w:rPr>
          <w:color w:val="auto"/>
        </w:rPr>
        <w:t xml:space="preserve">by the </w:t>
      </w:r>
      <w:r w:rsidRPr="00E747A2">
        <w:rPr>
          <w:color w:val="auto"/>
        </w:rPr>
        <w:t>protocol of the Animal Care and Use Committee of FRI, CAAS for the birds handling and data collection.</w:t>
      </w:r>
    </w:p>
    <w:p w:rsidR="0099365D" w:rsidRPr="00E747A2" w:rsidRDefault="00E53C3F" w:rsidP="00BE2D61">
      <w:pPr>
        <w:pStyle w:val="Heading2"/>
        <w:numPr>
          <w:ilvl w:val="1"/>
          <w:numId w:val="30"/>
        </w:numPr>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t>Test feedstuffs and experimental diets</w:t>
      </w:r>
    </w:p>
    <w:p w:rsidR="000E696E" w:rsidRDefault="0099365D" w:rsidP="0071791A">
      <w:pPr>
        <w:spacing w:line="480" w:lineRule="auto"/>
        <w:rPr>
          <w:color w:val="auto"/>
        </w:rPr>
      </w:pPr>
      <w:r w:rsidRPr="00E747A2">
        <w:rPr>
          <w:color w:val="auto"/>
        </w:rPr>
        <w:t xml:space="preserve">The test feedstuffs of SBM, CNM, PM, </w:t>
      </w:r>
      <w:r w:rsidR="00895958" w:rsidRPr="00E747A2">
        <w:rPr>
          <w:color w:val="auto"/>
        </w:rPr>
        <w:t>C</w:t>
      </w:r>
      <w:r w:rsidR="00A74C06" w:rsidRPr="00E747A2">
        <w:rPr>
          <w:color w:val="auto"/>
        </w:rPr>
        <w:t>orn DDGS</w:t>
      </w:r>
      <w:r w:rsidRPr="00E747A2">
        <w:rPr>
          <w:color w:val="auto"/>
        </w:rPr>
        <w:t>, WB, WG</w:t>
      </w:r>
      <w:r w:rsidR="00FC351C" w:rsidRPr="00E747A2">
        <w:rPr>
          <w:color w:val="auto"/>
        </w:rPr>
        <w:t>,</w:t>
      </w:r>
      <w:r w:rsidRPr="00E747A2">
        <w:rPr>
          <w:color w:val="auto"/>
        </w:rPr>
        <w:t xml:space="preserve"> and WM were purchased from a feedstuff company </w:t>
      </w:r>
      <w:r w:rsidR="000D1317" w:rsidRPr="00E747A2">
        <w:rPr>
          <w:color w:val="auto"/>
        </w:rPr>
        <w:t>in China. The chemical composition</w:t>
      </w:r>
      <w:r w:rsidRPr="00E747A2">
        <w:rPr>
          <w:color w:val="auto"/>
        </w:rPr>
        <w:t xml:space="preserve"> of </w:t>
      </w:r>
      <w:r w:rsidR="00FA054C" w:rsidRPr="00E747A2">
        <w:rPr>
          <w:color w:val="auto"/>
        </w:rPr>
        <w:t>these feedstuffs</w:t>
      </w:r>
      <w:r w:rsidR="0071791A">
        <w:rPr>
          <w:color w:val="auto"/>
        </w:rPr>
        <w:t xml:space="preserve"> was</w:t>
      </w:r>
      <w:r w:rsidR="00FA054C" w:rsidRPr="00E747A2">
        <w:rPr>
          <w:color w:val="auto"/>
        </w:rPr>
        <w:t xml:space="preserve"> </w:t>
      </w:r>
      <w:r w:rsidRPr="00E747A2">
        <w:rPr>
          <w:color w:val="auto"/>
        </w:rPr>
        <w:t>analyzed</w:t>
      </w:r>
      <w:r w:rsidR="00131A30" w:rsidRPr="00E747A2">
        <w:rPr>
          <w:color w:val="auto"/>
        </w:rPr>
        <w:t xml:space="preserve"> in </w:t>
      </w:r>
      <w:r w:rsidR="0071791A">
        <w:rPr>
          <w:color w:val="auto"/>
        </w:rPr>
        <w:t>the feed research institute</w:t>
      </w:r>
      <w:r w:rsidR="00131A30" w:rsidRPr="00E747A2">
        <w:rPr>
          <w:color w:val="auto"/>
        </w:rPr>
        <w:t xml:space="preserve"> laboratory</w:t>
      </w:r>
      <w:r w:rsidRPr="00E747A2">
        <w:rPr>
          <w:color w:val="auto"/>
        </w:rPr>
        <w:t xml:space="preserve"> </w:t>
      </w:r>
      <w:r w:rsidR="0071791A">
        <w:rPr>
          <w:color w:val="auto"/>
        </w:rPr>
        <w:t>as</w:t>
      </w:r>
      <w:r w:rsidRPr="00E747A2">
        <w:rPr>
          <w:color w:val="auto"/>
        </w:rPr>
        <w:t xml:space="preserve"> shown in Table 1. </w:t>
      </w:r>
      <w:r w:rsidR="00E93A08" w:rsidRPr="00E747A2">
        <w:rPr>
          <w:color w:val="auto"/>
        </w:rPr>
        <w:t>Fourteen</w:t>
      </w:r>
      <w:r w:rsidR="0057736F" w:rsidRPr="00E747A2">
        <w:rPr>
          <w:color w:val="auto"/>
        </w:rPr>
        <w:t xml:space="preserve"> semi-purified experimental diets were formulated by </w:t>
      </w:r>
      <w:r w:rsidR="00E93A08" w:rsidRPr="00E747A2">
        <w:rPr>
          <w:color w:val="auto"/>
        </w:rPr>
        <w:t>seven</w:t>
      </w:r>
      <w:r w:rsidR="0057736F" w:rsidRPr="00E747A2">
        <w:rPr>
          <w:color w:val="auto"/>
        </w:rPr>
        <w:t xml:space="preserve"> test ingredients </w:t>
      </w:r>
      <w:r w:rsidR="0071791A">
        <w:rPr>
          <w:color w:val="auto"/>
        </w:rPr>
        <w:t>with and without</w:t>
      </w:r>
      <w:r w:rsidR="0057736F" w:rsidRPr="00E747A2">
        <w:rPr>
          <w:color w:val="auto"/>
        </w:rPr>
        <w:t xml:space="preserve"> microbial phytase.</w:t>
      </w:r>
      <w:r w:rsidRPr="00E747A2">
        <w:rPr>
          <w:color w:val="auto"/>
        </w:rPr>
        <w:t xml:space="preserve"> For each experimental diet, the test ingredient was the sole source of P, and CaCO</w:t>
      </w:r>
      <w:r w:rsidRPr="00E747A2">
        <w:rPr>
          <w:color w:val="auto"/>
          <w:vertAlign w:val="subscript"/>
        </w:rPr>
        <w:t>3</w:t>
      </w:r>
      <w:r w:rsidRPr="00E747A2">
        <w:rPr>
          <w:color w:val="auto"/>
        </w:rPr>
        <w:t xml:space="preserve"> was used to adjusting the ratio of Ca to total P (1.3:1). The composition of experimental diets w</w:t>
      </w:r>
      <w:r w:rsidR="0057736F" w:rsidRPr="00E747A2">
        <w:rPr>
          <w:color w:val="auto"/>
        </w:rPr>
        <w:t>as</w:t>
      </w:r>
      <w:r w:rsidRPr="00E747A2">
        <w:rPr>
          <w:color w:val="auto"/>
        </w:rPr>
        <w:t xml:space="preserve"> </w:t>
      </w:r>
      <w:r w:rsidR="0071791A" w:rsidRPr="00E747A2">
        <w:rPr>
          <w:color w:val="auto"/>
        </w:rPr>
        <w:t>summarized</w:t>
      </w:r>
      <w:r w:rsidRPr="00E747A2">
        <w:rPr>
          <w:color w:val="auto"/>
        </w:rPr>
        <w:t xml:space="preserve"> in Table 2. The 1000FTU/kg microbial phytase was added </w:t>
      </w:r>
      <w:r w:rsidR="00131A30" w:rsidRPr="00E747A2">
        <w:rPr>
          <w:color w:val="auto"/>
        </w:rPr>
        <w:t>to each of</w:t>
      </w:r>
      <w:r w:rsidRPr="00E747A2">
        <w:rPr>
          <w:color w:val="auto"/>
        </w:rPr>
        <w:t xml:space="preserve"> the eight experimental diets. The microbial phytase was produced by </w:t>
      </w:r>
      <w:r w:rsidRPr="00E747A2">
        <w:rPr>
          <w:i/>
          <w:iCs/>
          <w:color w:val="auto"/>
        </w:rPr>
        <w:t>E. coli</w:t>
      </w:r>
      <w:r w:rsidRPr="00E747A2">
        <w:rPr>
          <w:color w:val="auto"/>
        </w:rPr>
        <w:t xml:space="preserve"> production system </w:t>
      </w:r>
      <w:r w:rsidRPr="00E747A2">
        <w:rPr>
          <w:color w:val="auto"/>
        </w:rPr>
        <w:lastRenderedPageBreak/>
        <w:t xml:space="preserve">in Challenge Bio-Tec Company, Beijing, China. Each unit of phytase is deﬁned as the quantity of enzyme required to release 1 µmol of inorganic phosphorus/min from 0.00015 mol/L sodium phytate at pH 5.5 and 37°C </w:t>
      </w:r>
      <w:r w:rsidR="00382493" w:rsidRPr="00E747A2">
        <w:rPr>
          <w:color w:val="auto"/>
        </w:rPr>
        <w:fldChar w:fldCharType="begin" w:fldLock="1"/>
      </w:r>
      <w:r w:rsidR="000877D7">
        <w:rPr>
          <w:color w:val="auto"/>
        </w:rPr>
        <w:instrText>ADDIN CSL_CITATION {"citationItems":[{"id":"ITEM-1","itemData":{"author":[{"dropping-particle":"","family":"Rutherfurd","given":"S M","non-dropping-particle":"","parse-names":false,"suffix":""},{"dropping-particle":"","family":"Chung","given":"T K","non-dropping-particle":"","parse-names":false,"suffix":""},{"dropping-particle":"","family":"Morel","given":"P C H","non-dropping-particle":"","parse-names":false,"suffix":""},{"dropping-particle":"","family":"Moughan","given":"P J","non-dropping-particle":"","parse-names":false,"suffix":""}],"container-title":"Poultry Science","id":"ITEM-1","issued":{"date-parts":[["2004"]]},"page":"61-68","title":"Effect of microbial phytase on ileal digestibility of phytate phosphorus , total phosphorus , and amino acids in a low-phosphorus diet for broilers","type":"article-journal","volume":"83"},"uris":["http://www.mendeley.com/documents/?uuid=ed144c7b-c4a4-4101-b398-ee319e81459f"]}],"mendeley":{"formattedCitation":"(Rutherfurd et al. 2004)","manualFormatting":"(Rutherfurd et al., 2004)","plainTextFormattedCitation":"(Rutherfurd et al. 2004)","previouslyFormattedCitation":"(Rutherfurd et al., 2004)"},"properties":{"noteIndex":0},"schema":"https://github.com/citation-style-language/schema/raw/master/csl-citation.json"}</w:instrText>
      </w:r>
      <w:r w:rsidR="00382493" w:rsidRPr="00E747A2">
        <w:rPr>
          <w:color w:val="auto"/>
        </w:rPr>
        <w:fldChar w:fldCharType="separate"/>
      </w:r>
      <w:r w:rsidR="00AF3B8B" w:rsidRPr="00E747A2">
        <w:rPr>
          <w:noProof/>
          <w:color w:val="auto"/>
        </w:rPr>
        <w:t>(Rutherfurd</w:t>
      </w:r>
      <w:r w:rsidR="000C5804" w:rsidRPr="00E747A2">
        <w:rPr>
          <w:noProof/>
          <w:color w:val="auto"/>
        </w:rPr>
        <w:t xml:space="preserve"> et al.</w:t>
      </w:r>
      <w:r w:rsidR="00AB3728" w:rsidRPr="00E747A2">
        <w:rPr>
          <w:noProof/>
          <w:color w:val="auto"/>
        </w:rPr>
        <w:t>, 2004)</w:t>
      </w:r>
      <w:r w:rsidR="00382493" w:rsidRPr="00E747A2">
        <w:rPr>
          <w:color w:val="auto"/>
        </w:rPr>
        <w:fldChar w:fldCharType="end"/>
      </w:r>
      <w:r w:rsidR="00C90152" w:rsidRPr="00E747A2">
        <w:rPr>
          <w:color w:val="auto"/>
        </w:rPr>
        <w:t xml:space="preserve">. </w:t>
      </w:r>
      <w:r w:rsidRPr="00E747A2">
        <w:rPr>
          <w:color w:val="auto"/>
        </w:rPr>
        <w:t xml:space="preserve">Before </w:t>
      </w:r>
      <w:r w:rsidR="00131A30" w:rsidRPr="00E747A2">
        <w:rPr>
          <w:color w:val="auto"/>
        </w:rPr>
        <w:t xml:space="preserve">the </w:t>
      </w:r>
      <w:r w:rsidRPr="00E747A2">
        <w:rPr>
          <w:color w:val="auto"/>
        </w:rPr>
        <w:t>feeding trial</w:t>
      </w:r>
      <w:r w:rsidR="00131A30" w:rsidRPr="00E747A2">
        <w:rPr>
          <w:color w:val="auto"/>
        </w:rPr>
        <w:t>s</w:t>
      </w:r>
      <w:r w:rsidRPr="00E747A2">
        <w:rPr>
          <w:color w:val="auto"/>
        </w:rPr>
        <w:t xml:space="preserve">, key nutrients level and phytase activity of all experimental diets were detected </w:t>
      </w:r>
      <w:r w:rsidR="00131A30" w:rsidRPr="00E747A2">
        <w:rPr>
          <w:color w:val="auto"/>
        </w:rPr>
        <w:t xml:space="preserve">as </w:t>
      </w:r>
      <w:r w:rsidRPr="00E747A2">
        <w:rPr>
          <w:color w:val="auto"/>
        </w:rPr>
        <w:t xml:space="preserve">shown in Table 3. </w:t>
      </w:r>
    </w:p>
    <w:p w:rsidR="0099365D" w:rsidRPr="00E747A2" w:rsidRDefault="0099365D" w:rsidP="000E696E">
      <w:pPr>
        <w:spacing w:line="480" w:lineRule="auto"/>
        <w:ind w:firstLine="420"/>
        <w:rPr>
          <w:b/>
          <w:color w:val="auto"/>
        </w:rPr>
      </w:pPr>
      <w:r w:rsidRPr="00E747A2">
        <w:rPr>
          <w:color w:val="auto"/>
        </w:rPr>
        <w:t xml:space="preserve">To determinate endogenous loss of P, a purified P-free diet was prepared by </w:t>
      </w:r>
      <w:r w:rsidR="00A74C06" w:rsidRPr="00E747A2">
        <w:rPr>
          <w:color w:val="auto"/>
        </w:rPr>
        <w:t>corn</w:t>
      </w:r>
      <w:r w:rsidRPr="00E747A2">
        <w:rPr>
          <w:color w:val="auto"/>
        </w:rPr>
        <w:t xml:space="preserve"> starch 69.60%, glucose 9.64%, soybean oil 4.00%, table salt 0.30%, limestone 0.98%, cellulose 2.88%, lysine hydrochloride 0.96%, DL-methionine 0.53%, threonine 0.32%, tryptophan 0.17%, arginine 0.58%, glutamine 2.70%, histidine 0.16%, leucine 0.87%, isoleucine 0.44%, phenylalanine 0.34%, tyrosine 0.30%, valine 0.42%, glycine 0.52%, serine 0.52%, </w:t>
      </w:r>
      <w:r w:rsidR="003C4010" w:rsidRPr="00E747A2">
        <w:rPr>
          <w:color w:val="auto"/>
        </w:rPr>
        <w:t>asparagine</w:t>
      </w:r>
      <w:r w:rsidRPr="00E747A2">
        <w:rPr>
          <w:color w:val="auto"/>
        </w:rPr>
        <w:t xml:space="preserve"> 0.96%, proline 1.91%, feed binder 0.40% and premix 0.50%. The composition of premix is </w:t>
      </w:r>
      <w:r w:rsidR="000D1317" w:rsidRPr="00E747A2">
        <w:rPr>
          <w:color w:val="auto"/>
        </w:rPr>
        <w:t xml:space="preserve">the </w:t>
      </w:r>
      <w:r w:rsidRPr="00E747A2">
        <w:rPr>
          <w:color w:val="auto"/>
        </w:rPr>
        <w:t>same as the experimental diets. Silicon dioxide (SiO</w:t>
      </w:r>
      <w:r w:rsidRPr="00E747A2">
        <w:rPr>
          <w:color w:val="auto"/>
          <w:vertAlign w:val="subscript"/>
        </w:rPr>
        <w:t>2</w:t>
      </w:r>
      <w:r w:rsidR="00131A30" w:rsidRPr="00E747A2">
        <w:rPr>
          <w:color w:val="auto"/>
        </w:rPr>
        <w:t>) was added</w:t>
      </w:r>
      <w:r w:rsidRPr="00E747A2">
        <w:rPr>
          <w:color w:val="auto"/>
        </w:rPr>
        <w:t xml:space="preserve"> as an indicator (acid-insoluble ash) at 1.07% of all diets. All diets were pelleted </w:t>
      </w:r>
      <w:r w:rsidR="0071791A">
        <w:rPr>
          <w:color w:val="auto"/>
        </w:rPr>
        <w:t>to</w:t>
      </w:r>
      <w:r w:rsidRPr="00E747A2">
        <w:rPr>
          <w:color w:val="auto"/>
        </w:rPr>
        <w:t xml:space="preserve"> size </w:t>
      </w:r>
      <w:r w:rsidR="0071791A">
        <w:rPr>
          <w:color w:val="auto"/>
        </w:rPr>
        <w:t>of</w:t>
      </w:r>
      <w:r w:rsidRPr="00E747A2">
        <w:rPr>
          <w:color w:val="auto"/>
        </w:rPr>
        <w:t xml:space="preserve"> 2mm x 3mm before feeding.</w:t>
      </w:r>
      <w:r w:rsidRPr="00E747A2">
        <w:rPr>
          <w:color w:val="auto"/>
        </w:rPr>
        <w:tab/>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lang w:eastAsia="zh-CN"/>
        </w:rPr>
      </w:pPr>
      <w:r w:rsidRPr="00E747A2">
        <w:rPr>
          <w:rFonts w:ascii="Times New Roman" w:hAnsi="Times New Roman" w:cs="Times New Roman"/>
          <w:color w:val="auto"/>
          <w:sz w:val="24"/>
          <w:szCs w:val="24"/>
          <w:lang w:eastAsia="zh-CN"/>
        </w:rPr>
        <w:t xml:space="preserve"> Animals, housing management, and experimental design</w:t>
      </w:r>
    </w:p>
    <w:p w:rsidR="0099365D" w:rsidRPr="00E747A2" w:rsidRDefault="007560C6" w:rsidP="00BE2D61">
      <w:pPr>
        <w:spacing w:line="480" w:lineRule="auto"/>
        <w:rPr>
          <w:i/>
          <w:color w:val="auto"/>
          <w:lang w:eastAsia="zh-CN"/>
        </w:rPr>
      </w:pPr>
      <w:r w:rsidRPr="00E747A2">
        <w:rPr>
          <w:color w:val="auto"/>
          <w:lang w:eastAsia="zh-CN"/>
        </w:rPr>
        <w:t xml:space="preserve">One thousand male Arbor Acres broiler chickens aged 1 day </w:t>
      </w:r>
      <w:r w:rsidR="0099365D" w:rsidRPr="00E747A2">
        <w:rPr>
          <w:color w:val="auto"/>
          <w:lang w:eastAsia="zh-CN"/>
        </w:rPr>
        <w:t>were obtained from Beijing Arbor Acres Poultry Breeding CO., LTD and raised in heated, thermostatically controlled, stainless cage coated with plastic (100 x 50 x 45 cm) and equipped with feeder and waterer. During the preparation period (1-2</w:t>
      </w:r>
      <w:r w:rsidR="00256C70" w:rsidRPr="00E747A2">
        <w:rPr>
          <w:color w:val="auto"/>
          <w:lang w:eastAsia="zh-CN"/>
        </w:rPr>
        <w:t>3</w:t>
      </w:r>
      <w:r w:rsidR="0099365D" w:rsidRPr="00E747A2">
        <w:rPr>
          <w:color w:val="auto"/>
          <w:lang w:eastAsia="zh-CN"/>
        </w:rPr>
        <w:t xml:space="preserve"> day-old), </w:t>
      </w:r>
      <w:r w:rsidRPr="00E747A2">
        <w:rPr>
          <w:color w:val="auto"/>
          <w:lang w:eastAsia="zh-CN"/>
        </w:rPr>
        <w:t>birds</w:t>
      </w:r>
      <w:r w:rsidR="0099365D" w:rsidRPr="00E747A2">
        <w:rPr>
          <w:color w:val="auto"/>
          <w:lang w:eastAsia="zh-CN"/>
        </w:rPr>
        <w:t xml:space="preserve"> were fed commercial broiler starter diet containing 12.48 MJ/kg of ME, 20.45% of CP, 1.0% of Ca, 0.45% of non-phytate P</w:t>
      </w:r>
      <w:r w:rsidR="000D1317" w:rsidRPr="00E747A2">
        <w:rPr>
          <w:color w:val="auto"/>
          <w:lang w:eastAsia="zh-CN"/>
        </w:rPr>
        <w:t>,</w:t>
      </w:r>
      <w:r w:rsidR="0099365D" w:rsidRPr="00E747A2">
        <w:rPr>
          <w:color w:val="auto"/>
          <w:lang w:eastAsia="zh-CN"/>
        </w:rPr>
        <w:t xml:space="preserve"> and abundant vitamins and minerals. The room was maintain</w:t>
      </w:r>
      <w:r w:rsidRPr="00E747A2">
        <w:rPr>
          <w:color w:val="auto"/>
          <w:lang w:eastAsia="zh-CN"/>
        </w:rPr>
        <w:t>ed</w:t>
      </w:r>
      <w:r w:rsidR="0099365D" w:rsidRPr="00E747A2">
        <w:rPr>
          <w:color w:val="auto"/>
          <w:lang w:eastAsia="zh-CN"/>
        </w:rPr>
        <w:t xml:space="preserve"> on a 23:1h light: darkness scheduled. Birds accessed randomly tap water from a low-pressure drinking nipple.</w:t>
      </w:r>
    </w:p>
    <w:p w:rsidR="0099365D" w:rsidRPr="00E747A2" w:rsidRDefault="0099365D" w:rsidP="005E0E2B">
      <w:pPr>
        <w:spacing w:line="480" w:lineRule="auto"/>
        <w:ind w:firstLine="420"/>
        <w:rPr>
          <w:i/>
          <w:color w:val="auto"/>
          <w:lang w:eastAsia="zh-CN"/>
        </w:rPr>
      </w:pPr>
      <w:r w:rsidRPr="00E747A2">
        <w:rPr>
          <w:color w:val="auto"/>
          <w:lang w:eastAsia="zh-CN"/>
        </w:rPr>
        <w:lastRenderedPageBreak/>
        <w:t>A t</w:t>
      </w:r>
      <w:r w:rsidR="00396104" w:rsidRPr="00E747A2">
        <w:rPr>
          <w:color w:val="auto"/>
          <w:lang w:eastAsia="zh-CN"/>
        </w:rPr>
        <w:t>otal of 504</w:t>
      </w:r>
      <w:r w:rsidR="00256C70" w:rsidRPr="00E747A2">
        <w:rPr>
          <w:color w:val="auto"/>
          <w:lang w:eastAsia="zh-CN"/>
        </w:rPr>
        <w:t xml:space="preserve"> male chicken aged 23</w:t>
      </w:r>
      <w:r w:rsidRPr="00E747A2">
        <w:rPr>
          <w:color w:val="auto"/>
          <w:lang w:eastAsia="zh-CN"/>
        </w:rPr>
        <w:t xml:space="preserve"> days with similar body weight (930-960 g) </w:t>
      </w:r>
      <w:r w:rsidR="00E93A08" w:rsidRPr="00E747A2">
        <w:rPr>
          <w:color w:val="auto"/>
          <w:lang w:eastAsia="zh-CN"/>
        </w:rPr>
        <w:t>were selected and allotted to fourteen</w:t>
      </w:r>
      <w:r w:rsidRPr="00E747A2">
        <w:rPr>
          <w:color w:val="auto"/>
          <w:lang w:eastAsia="zh-CN"/>
        </w:rPr>
        <w:t xml:space="preserve"> dietary treatments by a randomized block design with two factors (</w:t>
      </w:r>
      <w:r w:rsidR="00E93A08" w:rsidRPr="00E747A2">
        <w:rPr>
          <w:color w:val="auto"/>
          <w:lang w:eastAsia="zh-CN"/>
        </w:rPr>
        <w:t>7</w:t>
      </w:r>
      <w:r w:rsidRPr="00E747A2">
        <w:rPr>
          <w:color w:val="auto"/>
          <w:lang w:eastAsia="zh-CN"/>
        </w:rPr>
        <w:t xml:space="preserve"> ingredients &amp; phytase addition level: 0 or 1000 FTU/kg). Each treatment has six replicates (cages) with 6 chickens per cage. After </w:t>
      </w:r>
      <w:r w:rsidR="00256C70" w:rsidRPr="00E747A2">
        <w:rPr>
          <w:color w:val="auto"/>
          <w:lang w:eastAsia="zh-CN"/>
        </w:rPr>
        <w:t>4</w:t>
      </w:r>
      <w:r w:rsidRPr="00E747A2">
        <w:rPr>
          <w:color w:val="auto"/>
          <w:lang w:eastAsia="zh-CN"/>
        </w:rPr>
        <w:t xml:space="preserve"> days of adaptation period </w:t>
      </w:r>
      <w:r w:rsidR="00256C70" w:rsidRPr="00E747A2">
        <w:rPr>
          <w:color w:val="auto"/>
          <w:lang w:eastAsia="zh-CN"/>
        </w:rPr>
        <w:t>(24-27 day-old)</w:t>
      </w:r>
      <w:r w:rsidR="001D1B88" w:rsidRPr="00E747A2">
        <w:rPr>
          <w:color w:val="auto"/>
          <w:lang w:eastAsia="zh-CN"/>
        </w:rPr>
        <w:t xml:space="preserve"> </w:t>
      </w:r>
      <w:r w:rsidRPr="00E747A2">
        <w:rPr>
          <w:color w:val="auto"/>
          <w:lang w:eastAsia="zh-CN"/>
        </w:rPr>
        <w:t xml:space="preserve">to corresponding semi-purified diet, the feces were collected in 4 days </w:t>
      </w:r>
      <w:r w:rsidR="00256C70" w:rsidRPr="00E747A2">
        <w:rPr>
          <w:color w:val="auto"/>
          <w:lang w:eastAsia="zh-CN"/>
        </w:rPr>
        <w:t>(28-31 day-old)</w:t>
      </w:r>
      <w:r w:rsidR="001D1B88" w:rsidRPr="00E747A2">
        <w:rPr>
          <w:color w:val="auto"/>
          <w:lang w:eastAsia="zh-CN"/>
        </w:rPr>
        <w:t xml:space="preserve"> </w:t>
      </w:r>
      <w:r w:rsidRPr="00E747A2">
        <w:rPr>
          <w:color w:val="auto"/>
          <w:lang w:eastAsia="zh-CN"/>
        </w:rPr>
        <w:t xml:space="preserve">from the tray underneath </w:t>
      </w:r>
      <w:r w:rsidR="00256C70" w:rsidRPr="00E747A2">
        <w:rPr>
          <w:color w:val="auto"/>
          <w:lang w:eastAsia="zh-CN"/>
        </w:rPr>
        <w:t xml:space="preserve">the </w:t>
      </w:r>
      <w:r w:rsidRPr="00E747A2">
        <w:rPr>
          <w:color w:val="auto"/>
          <w:lang w:eastAsia="zh-CN"/>
        </w:rPr>
        <w:t>cage</w:t>
      </w:r>
      <w:r w:rsidR="00256C70" w:rsidRPr="00E747A2">
        <w:rPr>
          <w:color w:val="auto"/>
          <w:lang w:eastAsia="zh-CN"/>
        </w:rPr>
        <w:t>.</w:t>
      </w:r>
    </w:p>
    <w:p w:rsidR="0099365D" w:rsidRPr="00E747A2" w:rsidRDefault="0099365D" w:rsidP="000E696E">
      <w:pPr>
        <w:spacing w:line="480" w:lineRule="auto"/>
        <w:ind w:firstLine="420"/>
        <w:rPr>
          <w:i/>
          <w:color w:val="auto"/>
          <w:lang w:eastAsia="zh-CN"/>
        </w:rPr>
      </w:pPr>
      <w:r w:rsidRPr="00E747A2">
        <w:rPr>
          <w:color w:val="auto"/>
          <w:lang w:eastAsia="zh-CN"/>
        </w:rPr>
        <w:t xml:space="preserve">At the same time, six </w:t>
      </w:r>
      <w:r w:rsidR="00C27922" w:rsidRPr="00E747A2">
        <w:rPr>
          <w:color w:val="auto"/>
          <w:lang w:eastAsia="zh-CN"/>
        </w:rPr>
        <w:t xml:space="preserve">other </w:t>
      </w:r>
      <w:r w:rsidRPr="00E747A2">
        <w:rPr>
          <w:color w:val="auto"/>
          <w:lang w:eastAsia="zh-CN"/>
        </w:rPr>
        <w:t xml:space="preserve">male chickens were </w:t>
      </w:r>
      <w:r w:rsidR="00C27922" w:rsidRPr="00E747A2">
        <w:rPr>
          <w:color w:val="auto"/>
          <w:lang w:eastAsia="zh-CN"/>
        </w:rPr>
        <w:t xml:space="preserve">selected to fix </w:t>
      </w:r>
      <w:r w:rsidR="000D1317" w:rsidRPr="00E747A2">
        <w:rPr>
          <w:color w:val="auto"/>
          <w:lang w:eastAsia="zh-CN"/>
        </w:rPr>
        <w:t xml:space="preserve">a </w:t>
      </w:r>
      <w:r w:rsidRPr="00E747A2">
        <w:rPr>
          <w:color w:val="auto"/>
          <w:lang w:eastAsia="zh-CN"/>
        </w:rPr>
        <w:t>plastic cup</w:t>
      </w:r>
      <w:r w:rsidR="003E499B" w:rsidRPr="00E747A2">
        <w:rPr>
          <w:color w:val="auto"/>
          <w:lang w:eastAsia="zh-CN"/>
        </w:rPr>
        <w:t>s</w:t>
      </w:r>
      <w:r w:rsidRPr="00E747A2">
        <w:rPr>
          <w:color w:val="auto"/>
          <w:lang w:eastAsia="zh-CN"/>
        </w:rPr>
        <w:t xml:space="preserve"> around their anus to determine the endogenous P loss (EPL). After </w:t>
      </w:r>
      <w:r w:rsidR="003E499B" w:rsidRPr="00E747A2">
        <w:rPr>
          <w:color w:val="auto"/>
          <w:lang w:eastAsia="zh-CN"/>
        </w:rPr>
        <w:t xml:space="preserve">an </w:t>
      </w:r>
      <w:r w:rsidRPr="00E747A2">
        <w:rPr>
          <w:color w:val="auto"/>
          <w:lang w:eastAsia="zh-CN"/>
        </w:rPr>
        <w:t xml:space="preserve">adaptation period of </w:t>
      </w:r>
      <w:r w:rsidR="00FF0F36" w:rsidRPr="00E747A2">
        <w:rPr>
          <w:color w:val="auto"/>
          <w:lang w:eastAsia="zh-CN"/>
        </w:rPr>
        <w:t>4</w:t>
      </w:r>
      <w:r w:rsidRPr="00E747A2">
        <w:rPr>
          <w:color w:val="auto"/>
          <w:lang w:eastAsia="zh-CN"/>
        </w:rPr>
        <w:t xml:space="preserve"> days, the chicken fasted for 12h to evacuate the digestive tract content following the procedure </w:t>
      </w:r>
      <w:r w:rsidR="00C27922" w:rsidRPr="00E747A2">
        <w:rPr>
          <w:color w:val="auto"/>
          <w:lang w:eastAsia="zh-CN"/>
        </w:rPr>
        <w:t>reported</w:t>
      </w:r>
      <w:r w:rsidRPr="00E747A2">
        <w:rPr>
          <w:color w:val="auto"/>
          <w:lang w:eastAsia="zh-CN"/>
        </w:rPr>
        <w:t xml:space="preserve"> by </w:t>
      </w:r>
      <w:r w:rsidR="00382493" w:rsidRPr="00E747A2">
        <w:rPr>
          <w:i/>
          <w:color w:val="auto"/>
          <w:lang w:eastAsia="zh-CN"/>
        </w:rPr>
        <w:fldChar w:fldCharType="begin" w:fldLock="1"/>
      </w:r>
      <w:r w:rsidR="000877D7">
        <w:rPr>
          <w:color w:val="auto"/>
          <w:lang w:eastAsia="zh-CN"/>
        </w:rPr>
        <w:instrText>ADDIN CSL_CITATION {"citationItems":[{"id":"ITEM-1","itemData":{"ISSN":"00325791","author":[{"dropping-particle":"","family":"Liu","given":"S. B.","non-dropping-particle":"","parse-names":false,"suffix":""},{"dropping-particle":"","family":"Li","given":"S. F.","non-dropping-particle":"","parse-names":false,"suffix":""},{"dropping-particle":"","family":"Lu","given":"L.","non-dropping-particle":"","parse-names":false,"suffix":""},{"dropping-particle":"","family":"Xie","given":"J. J.","non-dropping-particle":"","parse-names":false,"suffix":""},{"dropping-particle":"","family":"Zhang","given":"L. Y.","non-dropping-particle":"","parse-names":false,"suffix":""},{"dropping-particle":"","family":"Luo","given":"X. G.","non-dropping-particle":"","parse-names":false,"suffix":""}],"container-title":"Poultry Science","id":"ITEM-1","issue":"8","issued":{"date-parts":[["2012"]]},"page":"1879-1885","title":"Estimation of standardized phosphorus retention for corn, soybean meal, and corn-soybean meal diet in broilers","type":"article-journal","volume":"91"},"uris":["http://www.mendeley.com/documents/?uuid=150c9f76-10a0-43fa-8aac-f2065bdb8d0f"]}],"mendeley":{"formattedCitation":"(S. B. Liu et al. 2012)","manualFormatting":"Liu et al. (2012a)","plainTextFormattedCitation":"(S. B. Liu et al. 2012)","previouslyFormattedCitation":"(S. B. Liu et al., 2012)"},"properties":{"noteIndex":0},"schema":"https://github.com/citation-style-language/schema/raw/master/csl-citation.json"}</w:instrText>
      </w:r>
      <w:r w:rsidR="00382493" w:rsidRPr="00E747A2">
        <w:rPr>
          <w:i/>
          <w:color w:val="auto"/>
          <w:lang w:eastAsia="zh-CN"/>
        </w:rPr>
        <w:fldChar w:fldCharType="separate"/>
      </w:r>
      <w:r w:rsidR="00215350" w:rsidRPr="00E747A2">
        <w:rPr>
          <w:noProof/>
          <w:color w:val="auto"/>
          <w:lang w:eastAsia="zh-CN"/>
        </w:rPr>
        <w:t>Liu et al.</w:t>
      </w:r>
      <w:r w:rsidR="00AB3728" w:rsidRPr="00E747A2">
        <w:rPr>
          <w:noProof/>
          <w:color w:val="auto"/>
          <w:lang w:eastAsia="zh-CN"/>
        </w:rPr>
        <w:t xml:space="preserve"> </w:t>
      </w:r>
      <w:r w:rsidR="00215350" w:rsidRPr="00E747A2">
        <w:rPr>
          <w:noProof/>
          <w:color w:val="auto"/>
          <w:lang w:eastAsia="zh-CN"/>
        </w:rPr>
        <w:t>(</w:t>
      </w:r>
      <w:r w:rsidR="00AB3728" w:rsidRPr="00E747A2">
        <w:rPr>
          <w:noProof/>
          <w:color w:val="auto"/>
          <w:lang w:eastAsia="zh-CN"/>
        </w:rPr>
        <w:t>2012</w:t>
      </w:r>
      <w:r w:rsidR="00300BD3" w:rsidRPr="00E747A2">
        <w:rPr>
          <w:noProof/>
          <w:color w:val="auto"/>
          <w:lang w:eastAsia="zh-CN"/>
        </w:rPr>
        <w:t>a</w:t>
      </w:r>
      <w:r w:rsidR="00AB3728" w:rsidRPr="00E747A2">
        <w:rPr>
          <w:noProof/>
          <w:color w:val="auto"/>
          <w:lang w:eastAsia="zh-CN"/>
        </w:rPr>
        <w:t>)</w:t>
      </w:r>
      <w:r w:rsidR="00382493" w:rsidRPr="00E747A2">
        <w:rPr>
          <w:i/>
          <w:color w:val="auto"/>
          <w:lang w:eastAsia="zh-CN"/>
        </w:rPr>
        <w:fldChar w:fldCharType="end"/>
      </w:r>
      <w:r w:rsidR="001D1B88" w:rsidRPr="00E747A2">
        <w:rPr>
          <w:color w:val="auto"/>
          <w:lang w:eastAsia="zh-CN"/>
        </w:rPr>
        <w:t xml:space="preserve"> </w:t>
      </w:r>
      <w:r w:rsidRPr="00E747A2">
        <w:rPr>
          <w:color w:val="auto"/>
          <w:lang w:eastAsia="zh-CN"/>
        </w:rPr>
        <w:t xml:space="preserve">with </w:t>
      </w:r>
      <w:r w:rsidR="003E499B" w:rsidRPr="00E747A2">
        <w:rPr>
          <w:color w:val="auto"/>
          <w:lang w:eastAsia="zh-CN"/>
        </w:rPr>
        <w:t xml:space="preserve">a </w:t>
      </w:r>
      <w:r w:rsidRPr="00E747A2">
        <w:rPr>
          <w:color w:val="auto"/>
          <w:lang w:eastAsia="zh-CN"/>
        </w:rPr>
        <w:t>slight modification of fasting hours. Then each chicken was force</w:t>
      </w:r>
      <w:r w:rsidR="00FA7DC0" w:rsidRPr="00E747A2">
        <w:rPr>
          <w:color w:val="auto"/>
          <w:lang w:eastAsia="zh-CN"/>
        </w:rPr>
        <w:t>d</w:t>
      </w:r>
      <w:r w:rsidRPr="00E747A2">
        <w:rPr>
          <w:color w:val="auto"/>
          <w:lang w:eastAsia="zh-CN"/>
        </w:rPr>
        <w:t xml:space="preserve">-fed 30g of purified P-free diet and </w:t>
      </w:r>
      <w:r w:rsidR="00FA7DC0" w:rsidRPr="00E747A2">
        <w:rPr>
          <w:color w:val="auto"/>
          <w:lang w:eastAsia="zh-CN"/>
        </w:rPr>
        <w:t>their feces</w:t>
      </w:r>
      <w:r w:rsidRPr="00E747A2">
        <w:rPr>
          <w:color w:val="auto"/>
          <w:lang w:eastAsia="zh-CN"/>
        </w:rPr>
        <w:t xml:space="preserve"> were collected for 18 h. The collected feces samples from a cage were pooled and put in </w:t>
      </w:r>
      <w:r w:rsidR="00C27922" w:rsidRPr="00E747A2">
        <w:rPr>
          <w:color w:val="auto"/>
          <w:lang w:eastAsia="zh-CN"/>
        </w:rPr>
        <w:t xml:space="preserve">a </w:t>
      </w:r>
      <w:r w:rsidRPr="00E747A2">
        <w:rPr>
          <w:color w:val="auto"/>
          <w:lang w:eastAsia="zh-CN"/>
        </w:rPr>
        <w:t>zip</w:t>
      </w:r>
      <w:r w:rsidR="003E499B" w:rsidRPr="00E747A2">
        <w:rPr>
          <w:color w:val="auto"/>
          <w:lang w:eastAsia="zh-CN"/>
        </w:rPr>
        <w:t>-</w:t>
      </w:r>
      <w:r w:rsidRPr="00E747A2">
        <w:rPr>
          <w:color w:val="auto"/>
          <w:lang w:eastAsia="zh-CN"/>
        </w:rPr>
        <w:t>loc</w:t>
      </w:r>
      <w:r w:rsidR="003E499B" w:rsidRPr="00E747A2">
        <w:rPr>
          <w:color w:val="auto"/>
          <w:lang w:eastAsia="zh-CN"/>
        </w:rPr>
        <w:t>k</w:t>
      </w:r>
      <w:r w:rsidRPr="00E747A2">
        <w:rPr>
          <w:color w:val="auto"/>
          <w:lang w:eastAsia="zh-CN"/>
        </w:rPr>
        <w:t xml:space="preserve"> plastic bag and stored immediately in -20 </w:t>
      </w:r>
      <w:r w:rsidRPr="00E747A2">
        <w:rPr>
          <w:color w:val="auto"/>
          <w:vertAlign w:val="superscript"/>
          <w:lang w:eastAsia="zh-CN"/>
        </w:rPr>
        <w:t>o</w:t>
      </w:r>
      <w:r w:rsidR="00FF0F36" w:rsidRPr="00E747A2">
        <w:rPr>
          <w:color w:val="auto"/>
          <w:lang w:eastAsia="zh-CN"/>
        </w:rPr>
        <w:t>C for analysis.</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iCs/>
          <w:color w:val="auto"/>
          <w:sz w:val="24"/>
          <w:szCs w:val="24"/>
          <w:lang w:eastAsia="zh-CN"/>
        </w:rPr>
      </w:pPr>
      <w:r w:rsidRPr="00E747A2">
        <w:rPr>
          <w:rFonts w:ascii="Times New Roman" w:hAnsi="Times New Roman" w:cs="Times New Roman"/>
          <w:iCs/>
          <w:color w:val="auto"/>
          <w:sz w:val="24"/>
          <w:szCs w:val="24"/>
          <w:lang w:eastAsia="zh-CN"/>
        </w:rPr>
        <w:t xml:space="preserve"> Chemical a</w:t>
      </w:r>
      <w:r w:rsidR="0099365D" w:rsidRPr="00E747A2">
        <w:rPr>
          <w:rFonts w:ascii="Times New Roman" w:hAnsi="Times New Roman" w:cs="Times New Roman"/>
          <w:iCs/>
          <w:color w:val="auto"/>
          <w:sz w:val="24"/>
          <w:szCs w:val="24"/>
          <w:lang w:eastAsia="zh-CN"/>
        </w:rPr>
        <w:t>nalysis</w:t>
      </w:r>
    </w:p>
    <w:p w:rsidR="0099365D" w:rsidRPr="00E747A2" w:rsidRDefault="0099365D" w:rsidP="00A26AD1">
      <w:pPr>
        <w:spacing w:line="480" w:lineRule="auto"/>
        <w:rPr>
          <w:i/>
          <w:color w:val="auto"/>
          <w:lang w:eastAsia="zh-CN"/>
        </w:rPr>
      </w:pPr>
      <w:r w:rsidRPr="00E747A2">
        <w:rPr>
          <w:color w:val="auto"/>
          <w:lang w:eastAsia="zh-CN"/>
        </w:rPr>
        <w:t xml:space="preserve">For the chemical analysis, </w:t>
      </w:r>
      <w:r w:rsidR="00C27922" w:rsidRPr="00E747A2">
        <w:rPr>
          <w:color w:val="auto"/>
          <w:lang w:eastAsia="zh-CN"/>
        </w:rPr>
        <w:t xml:space="preserve">after air-dried </w:t>
      </w:r>
      <w:r w:rsidR="00FA7DC0" w:rsidRPr="00E747A2">
        <w:rPr>
          <w:color w:val="auto"/>
          <w:lang w:eastAsia="zh-CN"/>
        </w:rPr>
        <w:t xml:space="preserve">of air oven </w:t>
      </w:r>
      <w:r w:rsidR="00C27922" w:rsidRPr="00E747A2">
        <w:rPr>
          <w:color w:val="auto"/>
          <w:lang w:eastAsia="zh-CN"/>
        </w:rPr>
        <w:t>65</w:t>
      </w:r>
      <w:r w:rsidR="00C27922" w:rsidRPr="00E747A2">
        <w:rPr>
          <w:color w:val="auto"/>
          <w:vertAlign w:val="superscript"/>
          <w:lang w:eastAsia="zh-CN"/>
        </w:rPr>
        <w:t>o</w:t>
      </w:r>
      <w:r w:rsidR="00C27922" w:rsidRPr="00E747A2">
        <w:rPr>
          <w:color w:val="auto"/>
          <w:lang w:eastAsia="zh-CN"/>
        </w:rPr>
        <w:t>C</w:t>
      </w:r>
      <w:r w:rsidR="00500FF4" w:rsidRPr="00E747A2">
        <w:rPr>
          <w:color w:val="auto"/>
          <w:lang w:eastAsia="zh-CN"/>
        </w:rPr>
        <w:t>,</w:t>
      </w:r>
      <w:r w:rsidR="006555B2" w:rsidRPr="00E747A2">
        <w:rPr>
          <w:color w:val="auto"/>
          <w:lang w:eastAsia="zh-CN"/>
        </w:rPr>
        <w:t xml:space="preserve"> </w:t>
      </w:r>
      <w:r w:rsidRPr="00E747A2">
        <w:rPr>
          <w:color w:val="auto"/>
          <w:lang w:eastAsia="zh-CN"/>
        </w:rPr>
        <w:t>samples of ingredient, diet</w:t>
      </w:r>
      <w:r w:rsidR="003E499B" w:rsidRPr="00E747A2">
        <w:rPr>
          <w:color w:val="auto"/>
          <w:lang w:eastAsia="zh-CN"/>
        </w:rPr>
        <w:t>,</w:t>
      </w:r>
      <w:r w:rsidRPr="00E747A2">
        <w:rPr>
          <w:color w:val="auto"/>
          <w:lang w:eastAsia="zh-CN"/>
        </w:rPr>
        <w:t xml:space="preserve"> and feces were grounded through a 0.45-mm sieve using a grinding mill. Samples of feed (triplicate), and feces (duplicate) were analyzed for dry matter (DM, AOAC 930.15)</w:t>
      </w:r>
      <w:r w:rsidR="00096157" w:rsidRPr="00E747A2">
        <w:rPr>
          <w:color w:val="auto"/>
          <w:lang w:eastAsia="zh-CN"/>
        </w:rPr>
        <w:t xml:space="preserve"> </w:t>
      </w:r>
      <w:r w:rsidR="00382493" w:rsidRPr="00E747A2">
        <w:rPr>
          <w:i/>
          <w:color w:val="auto"/>
          <w:lang w:eastAsia="zh-CN"/>
        </w:rPr>
        <w:fldChar w:fldCharType="begin" w:fldLock="1"/>
      </w:r>
      <w:r w:rsidR="000877D7">
        <w:rPr>
          <w:color w:val="auto"/>
          <w:lang w:eastAsia="zh-CN"/>
        </w:rPr>
        <w:instrText>ADDIN CSL_CITATION {"citationItems":[{"id":"ITEM-1","itemData":{"author":[{"dropping-particle":"","family":"AOAC International.","given":"","non-dropping-particle":"","parse-names":false,"suffix":""}],"id":"ITEM-1","issued":{"date-parts":[["2007"]]},"publisher":"Gaithersburg, MD, USA:AOAC international","title":"Official methods of analysis. 18th ed. Hortwitz W, Latimer Jr., GW, editors.","type":"book"},"uris":["http://www.mendeley.com/documents/?uuid=d2b93cfa-3683-46c5-b310-6c6b1145bd77"]}],"mendeley":{"formattedCitation":"(AOAC International. 2007)","manualFormatting":"(AOAC, 2007)","plainTextFormattedCitation":"(AOAC International. 2007)","previouslyFormattedCitation":"(AOAC International., 2007)"},"properties":{"noteIndex":0},"schema":"https://github.com/citation-style-language/schema/raw/master/csl-citation.json"}</w:instrText>
      </w:r>
      <w:r w:rsidR="00382493" w:rsidRPr="00E747A2">
        <w:rPr>
          <w:i/>
          <w:color w:val="auto"/>
          <w:lang w:eastAsia="zh-CN"/>
        </w:rPr>
        <w:fldChar w:fldCharType="separate"/>
      </w:r>
      <w:r w:rsidR="00AF3B8B" w:rsidRPr="00E747A2">
        <w:rPr>
          <w:noProof/>
          <w:color w:val="auto"/>
          <w:lang w:eastAsia="zh-CN"/>
        </w:rPr>
        <w:t>(AOAC,</w:t>
      </w:r>
      <w:r w:rsidR="0036522F" w:rsidRPr="00E747A2">
        <w:rPr>
          <w:noProof/>
          <w:color w:val="auto"/>
          <w:lang w:eastAsia="zh-CN"/>
        </w:rPr>
        <w:t xml:space="preserve"> 2007)</w:t>
      </w:r>
      <w:r w:rsidR="00382493" w:rsidRPr="00E747A2">
        <w:rPr>
          <w:i/>
          <w:color w:val="auto"/>
          <w:lang w:eastAsia="zh-CN"/>
        </w:rPr>
        <w:fldChar w:fldCharType="end"/>
      </w:r>
      <w:r w:rsidRPr="00E747A2">
        <w:rPr>
          <w:color w:val="auto"/>
          <w:lang w:eastAsia="zh-CN"/>
        </w:rPr>
        <w:t xml:space="preserve">, crude protein </w:t>
      </w:r>
      <w:r w:rsidR="003042DE" w:rsidRPr="00E747A2">
        <w:rPr>
          <w:color w:val="auto"/>
          <w:lang w:eastAsia="zh-CN"/>
        </w:rPr>
        <w:t>(</w:t>
      </w:r>
      <w:r w:rsidRPr="00E747A2">
        <w:rPr>
          <w:color w:val="auto"/>
          <w:lang w:eastAsia="zh-CN"/>
        </w:rPr>
        <w:t>CP, Dumatherm, Gerhardt</w:t>
      </w:r>
      <w:r w:rsidR="00622905" w:rsidRPr="00E747A2">
        <w:rPr>
          <w:color w:val="auto"/>
          <w:lang w:eastAsia="zh-CN"/>
        </w:rPr>
        <w:t xml:space="preserve"> company</w:t>
      </w:r>
      <w:r w:rsidRPr="00E747A2">
        <w:rPr>
          <w:color w:val="auto"/>
          <w:lang w:eastAsia="zh-CN"/>
        </w:rPr>
        <w:t>, Germ</w:t>
      </w:r>
      <w:r w:rsidR="00622905" w:rsidRPr="00E747A2">
        <w:rPr>
          <w:color w:val="auto"/>
          <w:lang w:eastAsia="zh-CN"/>
        </w:rPr>
        <w:t>a</w:t>
      </w:r>
      <w:r w:rsidRPr="00E747A2">
        <w:rPr>
          <w:color w:val="auto"/>
          <w:lang w:eastAsia="zh-CN"/>
        </w:rPr>
        <w:t>ny). Following the ashing process at 550°C for 6 hours in a muffle furnace, samples of diets, feedstuffs a</w:t>
      </w:r>
      <w:r w:rsidR="00622905" w:rsidRPr="00E747A2">
        <w:rPr>
          <w:color w:val="auto"/>
          <w:lang w:eastAsia="zh-CN"/>
        </w:rPr>
        <w:t>nd feces were extracted with 4N H</w:t>
      </w:r>
      <w:r w:rsidRPr="00E747A2">
        <w:rPr>
          <w:color w:val="auto"/>
          <w:lang w:eastAsia="zh-CN"/>
        </w:rPr>
        <w:t xml:space="preserve">Cl </w:t>
      </w:r>
      <w:r w:rsidR="00622905" w:rsidRPr="00E747A2">
        <w:rPr>
          <w:color w:val="auto"/>
          <w:lang w:eastAsia="zh-CN"/>
        </w:rPr>
        <w:t xml:space="preserve">solution </w:t>
      </w:r>
      <w:r w:rsidRPr="00E747A2">
        <w:rPr>
          <w:color w:val="auto"/>
          <w:lang w:eastAsia="zh-CN"/>
        </w:rPr>
        <w:t>and the P concentration was determine</w:t>
      </w:r>
      <w:r w:rsidR="00FA7DC0" w:rsidRPr="00E747A2">
        <w:rPr>
          <w:color w:val="auto"/>
          <w:lang w:eastAsia="zh-CN"/>
        </w:rPr>
        <w:t>d</w:t>
      </w:r>
      <w:r w:rsidRPr="00E747A2">
        <w:rPr>
          <w:color w:val="auto"/>
          <w:lang w:eastAsia="zh-CN"/>
        </w:rPr>
        <w:t xml:space="preserve"> by spectrometry (Model UV-1780, Shimadzu, Japan). </w:t>
      </w:r>
      <w:r w:rsidR="00500FF4" w:rsidRPr="00E747A2">
        <w:rPr>
          <w:color w:val="auto"/>
          <w:lang w:eastAsia="zh-CN"/>
        </w:rPr>
        <w:t xml:space="preserve">The content of </w:t>
      </w:r>
      <w:r w:rsidRPr="00E747A2">
        <w:rPr>
          <w:color w:val="auto"/>
          <w:lang w:eastAsia="zh-CN"/>
        </w:rPr>
        <w:t xml:space="preserve">Ca </w:t>
      </w:r>
      <w:r w:rsidR="00FA7DC0" w:rsidRPr="00E747A2">
        <w:rPr>
          <w:color w:val="auto"/>
          <w:lang w:eastAsia="zh-CN"/>
        </w:rPr>
        <w:t xml:space="preserve">in </w:t>
      </w:r>
      <w:r w:rsidR="00500FF4" w:rsidRPr="00E747A2">
        <w:rPr>
          <w:color w:val="auto"/>
          <w:lang w:eastAsia="zh-CN"/>
        </w:rPr>
        <w:t>the samples</w:t>
      </w:r>
      <w:r w:rsidRPr="00E747A2">
        <w:rPr>
          <w:color w:val="auto"/>
          <w:lang w:eastAsia="zh-CN"/>
        </w:rPr>
        <w:t xml:space="preserve"> was determine</w:t>
      </w:r>
      <w:r w:rsidR="00622905" w:rsidRPr="00E747A2">
        <w:rPr>
          <w:color w:val="auto"/>
          <w:lang w:eastAsia="zh-CN"/>
        </w:rPr>
        <w:t>d</w:t>
      </w:r>
      <w:r w:rsidRPr="00E747A2">
        <w:rPr>
          <w:color w:val="auto"/>
          <w:lang w:eastAsia="zh-CN"/>
        </w:rPr>
        <w:t xml:space="preserve"> by flame spectrometry (Model novAA® 400P, Analytikjena, Germany). The content of </w:t>
      </w:r>
      <w:r w:rsidRPr="00E747A2">
        <w:rPr>
          <w:color w:val="auto"/>
          <w:lang w:eastAsia="zh-CN"/>
        </w:rPr>
        <w:lastRenderedPageBreak/>
        <w:t xml:space="preserve">phytate-P was analyzed based on the procedure of </w:t>
      </w:r>
      <w:r w:rsidR="00382493" w:rsidRPr="00E747A2">
        <w:rPr>
          <w:i/>
          <w:color w:val="auto"/>
          <w:lang w:eastAsia="zh-CN"/>
        </w:rPr>
        <w:fldChar w:fldCharType="begin" w:fldLock="1"/>
      </w:r>
      <w:r w:rsidR="000877D7">
        <w:rPr>
          <w:color w:val="auto"/>
          <w:lang w:eastAsia="zh-CN"/>
        </w:rPr>
        <w:instrText>ADDIN CSL_CITATION {"citationItems":[{"id":"ITEM-1","itemData":{"author":[{"dropping-particle":"","family":"Akinmusire","given":"A S","non-dropping-particle":"","parse-names":false,"suffix":""},{"dropping-particle":"","family":"Adeola","given":"O","non-dropping-particle":"","parse-names":false,"suffix":""}],"container-title":"Journal of Animal Science","id":"ITEM-1","issued":{"date-parts":[["2009"]]},"page":"977-983","title":"True digestibility of phosphorus in canola and soybean meals for growing pigs : Influence of microbial phytase","type":"article-journal","volume":"87"},"uris":["http://www.mendeley.com/documents/?uuid=d6835bcd-878d-4723-9d93-1881f76edc40"]}],"mendeley":{"formattedCitation":"(Akinmusire and Adeola 2009)","manualFormatting":"Akinmusire and Adeola (2009)","plainTextFormattedCitation":"(Akinmusire and Adeola 2009)","previouslyFormattedCitation":"(Akinmusire and Adeola, 2009)"},"properties":{"noteIndex":0},"schema":"https://github.com/citation-style-language/schema/raw/master/csl-citation.json"}</w:instrText>
      </w:r>
      <w:r w:rsidR="00382493" w:rsidRPr="00E747A2">
        <w:rPr>
          <w:i/>
          <w:color w:val="auto"/>
          <w:lang w:eastAsia="zh-CN"/>
        </w:rPr>
        <w:fldChar w:fldCharType="separate"/>
      </w:r>
      <w:r w:rsidR="00BB27AA" w:rsidRPr="00E747A2">
        <w:rPr>
          <w:noProof/>
          <w:color w:val="auto"/>
          <w:lang w:eastAsia="zh-CN"/>
        </w:rPr>
        <w:t>Akinmusire and</w:t>
      </w:r>
      <w:r w:rsidR="00215350" w:rsidRPr="00E747A2">
        <w:rPr>
          <w:noProof/>
          <w:color w:val="auto"/>
          <w:lang w:eastAsia="zh-CN"/>
        </w:rPr>
        <w:t xml:space="preserve"> Adeola (</w:t>
      </w:r>
      <w:r w:rsidR="00AB3728" w:rsidRPr="00E747A2">
        <w:rPr>
          <w:noProof/>
          <w:color w:val="auto"/>
          <w:lang w:eastAsia="zh-CN"/>
        </w:rPr>
        <w:t>2009)</w:t>
      </w:r>
      <w:r w:rsidR="00382493" w:rsidRPr="00E747A2">
        <w:rPr>
          <w:i/>
          <w:color w:val="auto"/>
          <w:lang w:eastAsia="zh-CN"/>
        </w:rPr>
        <w:fldChar w:fldCharType="end"/>
      </w:r>
      <w:r w:rsidR="003F0C5D" w:rsidRPr="00E747A2">
        <w:rPr>
          <w:color w:val="auto"/>
          <w:lang w:eastAsia="zh-CN"/>
        </w:rPr>
        <w:t xml:space="preserve">. </w:t>
      </w:r>
      <w:r w:rsidRPr="00E747A2">
        <w:rPr>
          <w:color w:val="auto"/>
          <w:lang w:eastAsia="zh-CN"/>
        </w:rPr>
        <w:t>The con</w:t>
      </w:r>
      <w:r w:rsidR="00500FF4" w:rsidRPr="00E747A2">
        <w:rPr>
          <w:color w:val="auto"/>
          <w:lang w:eastAsia="zh-CN"/>
        </w:rPr>
        <w:t>tent</w:t>
      </w:r>
      <w:r w:rsidRPr="00E747A2">
        <w:rPr>
          <w:color w:val="auto"/>
          <w:lang w:eastAsia="zh-CN"/>
        </w:rPr>
        <w:t xml:space="preserve"> of phytate in the test ingredients </w:t>
      </w:r>
      <w:r w:rsidR="003E499B" w:rsidRPr="00E747A2">
        <w:rPr>
          <w:color w:val="auto"/>
          <w:lang w:eastAsia="zh-CN"/>
        </w:rPr>
        <w:t>was</w:t>
      </w:r>
      <w:r w:rsidRPr="00E747A2">
        <w:rPr>
          <w:color w:val="auto"/>
          <w:lang w:eastAsia="zh-CN"/>
        </w:rPr>
        <w:t xml:space="preserve"> calculated as 28.2% of the phytic acid concentration </w:t>
      </w:r>
      <w:r w:rsidR="00382493" w:rsidRPr="00E747A2">
        <w:rPr>
          <w:i/>
          <w:color w:val="auto"/>
          <w:lang w:eastAsia="zh-CN"/>
        </w:rPr>
        <w:fldChar w:fldCharType="begin" w:fldLock="1"/>
      </w:r>
      <w:r w:rsidR="000877D7">
        <w:rPr>
          <w:color w:val="auto"/>
          <w:lang w:eastAsia="zh-CN"/>
        </w:rPr>
        <w:instrText>ADDIN CSL_CITATION {"citationItems":[{"id":"ITEM-1","itemData":{"DOI":"10.3920/978-90-8686-668-7","abstract":"Auszüge aus dem Buch als Hardcopy: Resulting from the joint efforts of Inra and the French Association for Animal Production, these new tables present the composition and nutritive value of the raw materials used for feeding the major farm animal species. These data reflect the changes in both raw materials and nutritional concepts. New characteristics have been introduced, including but not limited to net energy (for pigs), availability of amino acids, availability of mineral elements and starch degradability (for ruminants). A reliable scientific reference for feed manufacturers, veterinarians, farmers, researchers, teachers and students.","author":[{"dropping-particle":"","family":"Tran","given":"G..D.","non-dropping-particle":"","parse-names":false,"suffix":""},{"dropping-particle":"","family":"Sauvant","given":"D.","non-dropping-particle":"","parse-names":false,"suffix":""}],"container-title":"Tables of composition and nutritional value of feed materials","edition":"2nd","editor":[{"dropping-particle":"","family":"Sauvant","given":"D.","non-dropping-particle":"","parse-names":false,"suffix":""},{"dropping-particle":"","family":"Perez","given":"J.M.","non-dropping-particle":"","parse-names":false,"suffix":""},{"dropping-particle":"","family":"Tran","given":"G.","non-dropping-particle":"","parse-names":false,"suffix":""}],"id":"ITEM-1","issued":{"date-parts":[["2004"]]},"publisher":"Wageningen Academic Publishers, Wageningen, The Netherlands.pp.17-24","title":"Chemical data and nutritional value","type":"chapter"},"uris":["http://www.mendeley.com/documents/?uuid=b89a01f2-0edc-4634-b798-7261ba492273"]}],"mendeley":{"formattedCitation":"(Tran and Sauvant 2004)","plainTextFormattedCitation":"(Tran and Sauvant 2004)","previouslyFormattedCitation":"(Tran and Sauvant, 2004)"},"properties":{"noteIndex":0},"schema":"https://github.com/citation-style-language/schema/raw/master/csl-citation.json"}</w:instrText>
      </w:r>
      <w:r w:rsidR="00382493" w:rsidRPr="00E747A2">
        <w:rPr>
          <w:i/>
          <w:color w:val="auto"/>
          <w:lang w:eastAsia="zh-CN"/>
        </w:rPr>
        <w:fldChar w:fldCharType="separate"/>
      </w:r>
      <w:r w:rsidR="000877D7" w:rsidRPr="000877D7">
        <w:rPr>
          <w:noProof/>
          <w:color w:val="auto"/>
          <w:lang w:eastAsia="zh-CN"/>
        </w:rPr>
        <w:t>(Tran and Sauvant 2004)</w:t>
      </w:r>
      <w:r w:rsidR="00382493" w:rsidRPr="00E747A2">
        <w:rPr>
          <w:i/>
          <w:color w:val="auto"/>
          <w:lang w:eastAsia="zh-CN"/>
        </w:rPr>
        <w:fldChar w:fldCharType="end"/>
      </w:r>
      <w:r w:rsidR="003F0C5D" w:rsidRPr="00E747A2">
        <w:rPr>
          <w:color w:val="auto"/>
          <w:lang w:eastAsia="zh-CN"/>
        </w:rPr>
        <w:t xml:space="preserve">. </w:t>
      </w:r>
      <w:r w:rsidRPr="00E747A2">
        <w:rPr>
          <w:color w:val="auto"/>
          <w:lang w:eastAsia="zh-CN"/>
        </w:rPr>
        <w:t xml:space="preserve">The non-phytate phosphorus concentration </w:t>
      </w:r>
      <w:r w:rsidR="00500FF4" w:rsidRPr="00E747A2">
        <w:rPr>
          <w:color w:val="auto"/>
          <w:lang w:eastAsia="zh-CN"/>
        </w:rPr>
        <w:t>was</w:t>
      </w:r>
      <w:r w:rsidRPr="00E747A2">
        <w:rPr>
          <w:color w:val="auto"/>
          <w:lang w:eastAsia="zh-CN"/>
        </w:rPr>
        <w:t xml:space="preserve"> calculated by the difference between </w:t>
      </w:r>
      <w:r w:rsidR="00FA7DC0" w:rsidRPr="00E747A2">
        <w:rPr>
          <w:color w:val="auto"/>
          <w:lang w:eastAsia="zh-CN"/>
        </w:rPr>
        <w:t xml:space="preserve">the </w:t>
      </w:r>
      <w:r w:rsidRPr="00E747A2">
        <w:rPr>
          <w:color w:val="auto"/>
          <w:lang w:eastAsia="zh-CN"/>
        </w:rPr>
        <w:t xml:space="preserve">total phosphorus and phytate-P. </w:t>
      </w:r>
      <w:r w:rsidR="00500FF4" w:rsidRPr="00E747A2">
        <w:rPr>
          <w:color w:val="auto"/>
          <w:lang w:eastAsia="zh-CN"/>
        </w:rPr>
        <w:t>Acid-insoluble ash (AIA ) of s</w:t>
      </w:r>
      <w:r w:rsidR="00622905" w:rsidRPr="00E747A2">
        <w:rPr>
          <w:color w:val="auto"/>
          <w:lang w:eastAsia="zh-CN"/>
        </w:rPr>
        <w:t xml:space="preserve">amples of </w:t>
      </w:r>
      <w:r w:rsidR="00500FF4" w:rsidRPr="00E747A2">
        <w:rPr>
          <w:color w:val="auto"/>
          <w:lang w:eastAsia="zh-CN"/>
        </w:rPr>
        <w:t xml:space="preserve">the </w:t>
      </w:r>
      <w:r w:rsidR="00622905" w:rsidRPr="00E747A2">
        <w:rPr>
          <w:color w:val="auto"/>
          <w:lang w:eastAsia="zh-CN"/>
        </w:rPr>
        <w:t>d</w:t>
      </w:r>
      <w:r w:rsidRPr="00E747A2">
        <w:rPr>
          <w:color w:val="auto"/>
          <w:lang w:eastAsia="zh-CN"/>
        </w:rPr>
        <w:t>iet</w:t>
      </w:r>
      <w:r w:rsidR="00500FF4" w:rsidRPr="00E747A2">
        <w:rPr>
          <w:color w:val="auto"/>
          <w:lang w:eastAsia="zh-CN"/>
        </w:rPr>
        <w:t>s</w:t>
      </w:r>
      <w:r w:rsidRPr="00E747A2">
        <w:rPr>
          <w:color w:val="auto"/>
          <w:lang w:eastAsia="zh-CN"/>
        </w:rPr>
        <w:t xml:space="preserve"> and fec</w:t>
      </w:r>
      <w:r w:rsidR="00500FF4" w:rsidRPr="00E747A2">
        <w:rPr>
          <w:color w:val="auto"/>
          <w:lang w:eastAsia="zh-CN"/>
        </w:rPr>
        <w:t>es</w:t>
      </w:r>
      <w:r w:rsidRPr="00E747A2">
        <w:rPr>
          <w:color w:val="auto"/>
          <w:lang w:eastAsia="zh-CN"/>
        </w:rPr>
        <w:t xml:space="preserve"> were analyzed following the procedure of</w:t>
      </w:r>
      <w:r w:rsidR="00622905" w:rsidRPr="00E747A2">
        <w:rPr>
          <w:color w:val="auto"/>
          <w:lang w:eastAsia="zh-CN"/>
        </w:rPr>
        <w:t xml:space="preserve"> AOAC </w:t>
      </w:r>
      <w:r w:rsidR="00FC5A4B" w:rsidRPr="00E747A2">
        <w:rPr>
          <w:color w:val="auto"/>
          <w:lang w:eastAsia="zh-CN"/>
        </w:rPr>
        <w:t>Method Ba 5b-68</w:t>
      </w:r>
      <w:r w:rsidR="00096157" w:rsidRPr="00E747A2">
        <w:rPr>
          <w:color w:val="auto"/>
          <w:lang w:eastAsia="zh-CN"/>
        </w:rPr>
        <w:t xml:space="preserve"> </w:t>
      </w:r>
      <w:r w:rsidR="00382493" w:rsidRPr="00E747A2">
        <w:rPr>
          <w:i/>
          <w:color w:val="auto"/>
          <w:lang w:eastAsia="zh-CN"/>
        </w:rPr>
        <w:fldChar w:fldCharType="begin" w:fldLock="1"/>
      </w:r>
      <w:r w:rsidR="000877D7">
        <w:rPr>
          <w:color w:val="auto"/>
          <w:lang w:eastAsia="zh-CN"/>
        </w:rPr>
        <w:instrText>ADDIN CSL_CITATION {"citationItems":[{"id":"ITEM-1","itemData":{"author":[{"dropping-particle":"Van","family":"Keulen","given":"J","non-dropping-particle":"","parse-names":false,"suffix":""},{"dropping-particle":"","family":"Young","given":"B A","non-dropping-particle":"","parse-names":false,"suffix":""}],"container-title":"Journal of Animal Science","id":"ITEM-1","issue":"2","issued":{"date-parts":[["1977"]]},"page":"282-287","title":"Evaluation of acid-insoluble ash as a natural marker in ruminant digestibility studies","type":"article-journal","volume":"44"},"uris":["http://www.mendeley.com/documents/?uuid=dad1f775-9f9e-47fe-866c-14a2a75ae4df","http://www.mendeley.com/documents/?uuid=8c1a2e01-e063-469a-8451-f6e7029aad40"]}],"mendeley":{"formattedCitation":"(Keulen and Young 1977)","plainTextFormattedCitation":"(Keulen and Young 1977)","previouslyFormattedCitation":"(Keulen and Young, 1977)"},"properties":{"noteIndex":0},"schema":"https://github.com/citation-style-language/schema/raw/master/csl-citation.json"}</w:instrText>
      </w:r>
      <w:r w:rsidR="00382493" w:rsidRPr="00E747A2">
        <w:rPr>
          <w:i/>
          <w:color w:val="auto"/>
          <w:lang w:eastAsia="zh-CN"/>
        </w:rPr>
        <w:fldChar w:fldCharType="separate"/>
      </w:r>
      <w:r w:rsidR="000877D7" w:rsidRPr="000877D7">
        <w:rPr>
          <w:noProof/>
          <w:color w:val="auto"/>
          <w:lang w:eastAsia="zh-CN"/>
        </w:rPr>
        <w:t>(Keulen and Young 1977)</w:t>
      </w:r>
      <w:r w:rsidR="00382493" w:rsidRPr="00E747A2">
        <w:rPr>
          <w:i/>
          <w:color w:val="auto"/>
          <w:lang w:eastAsia="zh-CN"/>
        </w:rPr>
        <w:fldChar w:fldCharType="end"/>
      </w:r>
      <w:r w:rsidRPr="00E747A2">
        <w:rPr>
          <w:color w:val="auto"/>
          <w:lang w:eastAsia="zh-CN"/>
        </w:rPr>
        <w:t>.</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lang w:eastAsia="zh-CN"/>
        </w:rPr>
      </w:pPr>
      <w:r w:rsidRPr="00E747A2">
        <w:rPr>
          <w:rFonts w:ascii="Times New Roman" w:hAnsi="Times New Roman" w:cs="Times New Roman"/>
          <w:color w:val="auto"/>
          <w:sz w:val="24"/>
          <w:szCs w:val="24"/>
          <w:lang w:eastAsia="zh-CN"/>
        </w:rPr>
        <w:t xml:space="preserve"> </w:t>
      </w:r>
      <w:r w:rsidR="0099365D" w:rsidRPr="00E747A2">
        <w:rPr>
          <w:rFonts w:ascii="Times New Roman" w:hAnsi="Times New Roman" w:cs="Times New Roman"/>
          <w:color w:val="auto"/>
          <w:sz w:val="24"/>
          <w:szCs w:val="24"/>
          <w:lang w:eastAsia="zh-CN"/>
        </w:rPr>
        <w:t xml:space="preserve">Calculations </w:t>
      </w:r>
    </w:p>
    <w:p w:rsidR="0099365D" w:rsidRDefault="0099365D" w:rsidP="00BE2D61">
      <w:pPr>
        <w:spacing w:line="480" w:lineRule="auto"/>
        <w:rPr>
          <w:bCs/>
          <w:color w:val="auto"/>
          <w:lang w:eastAsia="zh-CN"/>
        </w:rPr>
      </w:pPr>
      <w:r w:rsidRPr="00E747A2">
        <w:rPr>
          <w:bCs/>
          <w:color w:val="auto"/>
          <w:lang w:eastAsia="zh-CN"/>
        </w:rPr>
        <w:t>The apparent availability</w:t>
      </w:r>
      <w:r w:rsidR="006B708E">
        <w:rPr>
          <w:bCs/>
          <w:color w:val="auto"/>
          <w:lang w:eastAsia="zh-CN"/>
        </w:rPr>
        <w:t xml:space="preserve"> (AA%)</w:t>
      </w:r>
      <w:r w:rsidRPr="00E747A2">
        <w:rPr>
          <w:bCs/>
          <w:color w:val="auto"/>
          <w:lang w:eastAsia="zh-CN"/>
        </w:rPr>
        <w:t xml:space="preserve"> of P was estimated based on the indicator marker method equation of </w:t>
      </w:r>
      <w:r w:rsidR="00382493" w:rsidRPr="00E747A2">
        <w:rPr>
          <w:i/>
          <w:color w:val="auto"/>
          <w:lang w:eastAsia="zh-CN"/>
        </w:rPr>
        <w:fldChar w:fldCharType="begin" w:fldLock="1"/>
      </w:r>
      <w:r w:rsidR="000877D7">
        <w:rPr>
          <w:color w:val="auto"/>
          <w:lang w:eastAsia="zh-CN"/>
        </w:rPr>
        <w:instrText>ADDIN CSL_CITATION {"citationItems":[{"id":"ITEM-1","itemData":{"abstract":"This study reevaluated the method of regressing of total P output against dietary P intake to simultaneously estimate true P digestibility and endogenous P loss in growing pigs fed either conventional or low-phytate soybean meal (SBM). Four isocaloric diets were formulated to contain increasing concentrations of each type of SBM (8 diets total), and therefore contained increasing concentrations of dietary P. Dietary P and Ca concentrations were deficient because they were supplied solely by SBM, and Ca:total P ratios were less than 1:1. Sixteen barrows (initial BW 17.7 ± 1.8 kg) were surgically fitted with a simple T-cannula at the distal ileum, randomly assigned to metabolism crates, and fed the experimental diets in a replicated 8 × 8 Latin square design. Feed was provided at 90 g/kg of BW0.75 and fed in 2 equally sized meals at 0800 and 2000, with diets containing Cr sesquioxide (3 g/kg) as an indigestible marker. As the P concentration increased from 0.9 to 3.9 g/kg of DM, the apparent prececal P digestibility increased for conventional SBM (P &lt; 0.05), but no relationship was observed for low-phytate SBM. The output of total P [mg/(kg of BW0.75·d)], either prececal or total tract, exhibited a linear relationship (P &lt; 0.01) with increasing P intake. However, a quadratic response (P = 0.02) was also detected for total tract P output from pigs fed low-phytate SBM. True P digestibility was not different between prececal and total tract collection sites (P &gt; 0.10), but was greater (P &lt; 0.01) for low-phytate SBM (62.6%) compared with conventional SBM (44.5%). Endogenous P estimates were not different between the SBM varieties and averaged 4.83 mg/(kg of BW0.75·d). However, endogenous P estimates were highly variable between individual animals and, therefore, were not significantly different from zero. In this study, estimates of endogenous P loss from pigs were relatively low compared with previously reported values, and evidence of nonlinearity in P output was observed. These results suggest that the difference in true P digestibility between conventional SBM and low-phytate SBM is influenced by dietary phytate content when growing pigs are fed P-deficient diets.","author":[{"dropping-particle":"","family":"Dilger","given":"R. N.","non-dropping-particle":"","parse-names":false,"suffix":""},{"dropping-particle":"","family":"Adeola","given":"O.","non-dropping-particle":"","parse-names":false,"suffix":""}],"container-title":"Journal of Animal Science","id":"ITEM-1","issue":"3","issued":{"date-parts":[["2006"]]},"page":"627-634","title":"Estimation of true phosphorus digestibility and endogenous phosphorus loss in growing pigs fed conventional and low-phytate soybean meals","type":"article-journal","volume":"84"},"uris":["http://www.mendeley.com/documents/?uuid=ba7f4aa6-0f21-433d-91f1-6b910bf4b31a"]}],"mendeley":{"formattedCitation":"(R. N. Dilger and Adeola 2006)","manualFormatting":"Dilger and Adeola (2006b)","plainTextFormattedCitation":"(R. N. Dilger and Adeola 2006)","previouslyFormattedCitation":"(R. N. Dilger and Adeola, 2006)"},"properties":{"noteIndex":0},"schema":"https://github.com/citation-style-language/schema/raw/master/csl-citation.json"}</w:instrText>
      </w:r>
      <w:r w:rsidR="00382493" w:rsidRPr="00E747A2">
        <w:rPr>
          <w:i/>
          <w:color w:val="auto"/>
          <w:lang w:eastAsia="zh-CN"/>
        </w:rPr>
        <w:fldChar w:fldCharType="separate"/>
      </w:r>
      <w:r w:rsidR="00BB27AA" w:rsidRPr="00E747A2">
        <w:rPr>
          <w:noProof/>
          <w:color w:val="auto"/>
          <w:lang w:eastAsia="zh-CN"/>
        </w:rPr>
        <w:t>Dilger and</w:t>
      </w:r>
      <w:r w:rsidR="00215350" w:rsidRPr="00E747A2">
        <w:rPr>
          <w:noProof/>
          <w:color w:val="auto"/>
          <w:lang w:eastAsia="zh-CN"/>
        </w:rPr>
        <w:t xml:space="preserve"> Adeola</w:t>
      </w:r>
      <w:r w:rsidR="00AB3728" w:rsidRPr="00E747A2">
        <w:rPr>
          <w:noProof/>
          <w:color w:val="auto"/>
          <w:lang w:eastAsia="zh-CN"/>
        </w:rPr>
        <w:t xml:space="preserve"> </w:t>
      </w:r>
      <w:r w:rsidR="00215350" w:rsidRPr="00E747A2">
        <w:rPr>
          <w:noProof/>
          <w:color w:val="auto"/>
          <w:lang w:eastAsia="zh-CN"/>
        </w:rPr>
        <w:t>(</w:t>
      </w:r>
      <w:r w:rsidR="00AB3728" w:rsidRPr="00E747A2">
        <w:rPr>
          <w:noProof/>
          <w:color w:val="auto"/>
          <w:lang w:eastAsia="zh-CN"/>
        </w:rPr>
        <w:t>2006b)</w:t>
      </w:r>
      <w:r w:rsidR="00382493" w:rsidRPr="00E747A2">
        <w:rPr>
          <w:i/>
          <w:color w:val="auto"/>
          <w:lang w:eastAsia="zh-CN"/>
        </w:rPr>
        <w:fldChar w:fldCharType="end"/>
      </w:r>
      <w:r w:rsidRPr="00E747A2">
        <w:rPr>
          <w:bCs/>
          <w:color w:val="auto"/>
          <w:lang w:eastAsia="zh-CN"/>
        </w:rPr>
        <w:t>:</w:t>
      </w:r>
    </w:p>
    <w:p w:rsidR="0099365D" w:rsidRPr="00E747A2" w:rsidRDefault="002C3725" w:rsidP="00F3055D">
      <w:pPr>
        <w:spacing w:line="480" w:lineRule="auto"/>
        <w:rPr>
          <w:bCs/>
          <w:i/>
          <w:color w:val="auto"/>
          <w:lang w:eastAsia="zh-CN"/>
        </w:rPr>
      </w:pPr>
      <w:r w:rsidRPr="00F3055D">
        <w:rPr>
          <w:bCs/>
          <w:color w:val="auto"/>
          <w:position w:val="-32"/>
          <w:szCs w:val="24"/>
          <w:lang w:eastAsia="zh-CN"/>
        </w:rPr>
        <w:object w:dxaOrig="7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36.85pt" o:ole="">
            <v:imagedata r:id="rId12" o:title=""/>
          </v:shape>
          <o:OLEObject Type="Embed" ProgID="Equation.DSMT4" ShapeID="_x0000_i1025" DrawAspect="Content" ObjectID="_1658394916" r:id="rId13"/>
        </w:object>
      </w:r>
      <w:r w:rsidR="0099365D" w:rsidRPr="00E747A2">
        <w:rPr>
          <w:bCs/>
          <w:color w:val="auto"/>
          <w:lang w:eastAsia="zh-CN"/>
        </w:rPr>
        <w:t>Where: P</w:t>
      </w:r>
      <w:r w:rsidR="0099365D" w:rsidRPr="00E747A2">
        <w:rPr>
          <w:bCs/>
          <w:color w:val="auto"/>
          <w:vertAlign w:val="subscript"/>
          <w:lang w:eastAsia="zh-CN"/>
        </w:rPr>
        <w:t>feces</w:t>
      </w:r>
      <w:r w:rsidR="0099365D" w:rsidRPr="00E747A2">
        <w:rPr>
          <w:bCs/>
          <w:color w:val="auto"/>
          <w:lang w:eastAsia="zh-CN"/>
        </w:rPr>
        <w:t xml:space="preserve"> is the content of P in feces; the P</w:t>
      </w:r>
      <w:r w:rsidR="0099365D" w:rsidRPr="00E747A2">
        <w:rPr>
          <w:bCs/>
          <w:color w:val="auto"/>
          <w:vertAlign w:val="subscript"/>
          <w:lang w:eastAsia="zh-CN"/>
        </w:rPr>
        <w:t>feed</w:t>
      </w:r>
      <w:r w:rsidR="0099365D" w:rsidRPr="00E747A2">
        <w:rPr>
          <w:bCs/>
          <w:color w:val="auto"/>
          <w:lang w:eastAsia="zh-CN"/>
        </w:rPr>
        <w:t xml:space="preserve"> is the content of phosphorus in </w:t>
      </w:r>
      <w:r w:rsidR="00DA3ADA" w:rsidRPr="00E747A2">
        <w:rPr>
          <w:bCs/>
          <w:color w:val="auto"/>
          <w:lang w:eastAsia="zh-CN"/>
        </w:rPr>
        <w:t xml:space="preserve">the </w:t>
      </w:r>
      <w:r w:rsidR="0099365D" w:rsidRPr="00E747A2">
        <w:rPr>
          <w:bCs/>
          <w:color w:val="auto"/>
          <w:lang w:eastAsia="zh-CN"/>
        </w:rPr>
        <w:t>diet; Marker</w:t>
      </w:r>
      <w:r w:rsidR="0099365D" w:rsidRPr="00E747A2">
        <w:rPr>
          <w:bCs/>
          <w:color w:val="auto"/>
          <w:vertAlign w:val="subscript"/>
          <w:lang w:eastAsia="zh-CN"/>
        </w:rPr>
        <w:t>feed</w:t>
      </w:r>
      <w:r w:rsidR="0099365D" w:rsidRPr="00E747A2">
        <w:rPr>
          <w:bCs/>
          <w:color w:val="auto"/>
          <w:lang w:eastAsia="zh-CN"/>
        </w:rPr>
        <w:t xml:space="preserve"> is the content of acid insoluble ash (AIA) </w:t>
      </w:r>
      <w:r w:rsidR="00FC5A4B" w:rsidRPr="00E747A2">
        <w:rPr>
          <w:bCs/>
          <w:color w:val="auto"/>
          <w:lang w:eastAsia="zh-CN"/>
        </w:rPr>
        <w:t xml:space="preserve">in diet </w:t>
      </w:r>
      <w:r w:rsidR="0099365D" w:rsidRPr="00E747A2">
        <w:rPr>
          <w:bCs/>
          <w:color w:val="auto"/>
          <w:lang w:eastAsia="zh-CN"/>
        </w:rPr>
        <w:t>and Marker</w:t>
      </w:r>
      <w:r w:rsidR="0099365D" w:rsidRPr="00E747A2">
        <w:rPr>
          <w:bCs/>
          <w:color w:val="auto"/>
          <w:vertAlign w:val="subscript"/>
          <w:lang w:eastAsia="zh-CN"/>
        </w:rPr>
        <w:t>feces</w:t>
      </w:r>
      <w:r w:rsidR="0099365D" w:rsidRPr="00E747A2">
        <w:rPr>
          <w:bCs/>
          <w:color w:val="auto"/>
          <w:lang w:eastAsia="zh-CN"/>
        </w:rPr>
        <w:t xml:space="preserve"> is the content of AIA in feces.</w:t>
      </w:r>
    </w:p>
    <w:p w:rsidR="0099365D" w:rsidRDefault="0099365D" w:rsidP="00BE2D61">
      <w:pPr>
        <w:spacing w:line="480" w:lineRule="auto"/>
        <w:rPr>
          <w:bCs/>
          <w:i/>
          <w:color w:val="auto"/>
          <w:lang w:eastAsia="zh-CN"/>
        </w:rPr>
      </w:pPr>
      <w:r w:rsidRPr="00E747A2">
        <w:rPr>
          <w:bCs/>
          <w:color w:val="auto"/>
          <w:lang w:eastAsia="zh-CN"/>
        </w:rPr>
        <w:t xml:space="preserve">The endogenous P loss (EPL) was calculated based on the formula of </w:t>
      </w:r>
      <w:r w:rsidR="00382493" w:rsidRPr="00E747A2">
        <w:rPr>
          <w:bCs/>
          <w:i/>
          <w:color w:val="auto"/>
          <w:lang w:eastAsia="zh-CN"/>
        </w:rPr>
        <w:fldChar w:fldCharType="begin" w:fldLock="1"/>
      </w:r>
      <w:r w:rsidR="000877D7">
        <w:rPr>
          <w:bCs/>
          <w:color w:val="auto"/>
          <w:lang w:eastAsia="zh-CN"/>
        </w:rPr>
        <w:instrText>ADDIN CSL_CITATION {"citationItems":[{"id":"ITEM-1","itemData":{"author":[{"dropping-particle":"","family":"Almeida","given":"F N","non-dropping-particle":"","parse-names":false,"suffix":""},{"dropping-particle":"","family":"Stein","given":"H H","non-dropping-particle":"","parse-names":false,"suffix":""}],"container-title":"American Society of Animal Science","id":"ITEM-1","issued":{"date-parts":[["2010"]]},"page":"2968-2977","title":"Performance and phosphorus balance of pigs fed diets formulated on the basis of values for standardized total tract digestibility of phosphorus","type":"article-journal","volume":"88"},"uris":["http://www.mendeley.com/documents/?uuid=87775784-84f8-43c6-bd27-fadc50844dc6"]}],"mendeley":{"formattedCitation":"(Almeida and Stein 2010)","manualFormatting":"Almeida and Stein (2010)","plainTextFormattedCitation":"(Almeida and Stein 2010)","previouslyFormattedCitation":"(Almeida and Stein, 2010)"},"properties":{"noteIndex":0},"schema":"https://github.com/citation-style-language/schema/raw/master/csl-citation.json"}</w:instrText>
      </w:r>
      <w:r w:rsidR="00382493" w:rsidRPr="00E747A2">
        <w:rPr>
          <w:bCs/>
          <w:i/>
          <w:color w:val="auto"/>
          <w:lang w:eastAsia="zh-CN"/>
        </w:rPr>
        <w:fldChar w:fldCharType="separate"/>
      </w:r>
      <w:r w:rsidR="00BB27AA" w:rsidRPr="00E747A2">
        <w:rPr>
          <w:noProof/>
          <w:color w:val="auto"/>
          <w:lang w:eastAsia="zh-CN"/>
        </w:rPr>
        <w:t>Almeida and</w:t>
      </w:r>
      <w:r w:rsidR="00215350" w:rsidRPr="00E747A2">
        <w:rPr>
          <w:noProof/>
          <w:color w:val="auto"/>
          <w:lang w:eastAsia="zh-CN"/>
        </w:rPr>
        <w:t xml:space="preserve"> Stein</w:t>
      </w:r>
      <w:r w:rsidR="00AB3728" w:rsidRPr="00E747A2">
        <w:rPr>
          <w:bCs/>
          <w:noProof/>
          <w:color w:val="auto"/>
          <w:lang w:eastAsia="zh-CN"/>
        </w:rPr>
        <w:t xml:space="preserve"> </w:t>
      </w:r>
      <w:r w:rsidR="00215350" w:rsidRPr="00E747A2">
        <w:rPr>
          <w:noProof/>
          <w:color w:val="auto"/>
          <w:lang w:eastAsia="zh-CN"/>
        </w:rPr>
        <w:t>(</w:t>
      </w:r>
      <w:r w:rsidR="00AB3728" w:rsidRPr="00E747A2">
        <w:rPr>
          <w:noProof/>
          <w:color w:val="auto"/>
          <w:lang w:eastAsia="zh-CN"/>
        </w:rPr>
        <w:t>2010)</w:t>
      </w:r>
      <w:r w:rsidR="00382493" w:rsidRPr="00E747A2">
        <w:rPr>
          <w:bCs/>
          <w:i/>
          <w:color w:val="auto"/>
          <w:lang w:eastAsia="zh-CN"/>
        </w:rPr>
        <w:fldChar w:fldCharType="end"/>
      </w:r>
    </w:p>
    <w:p w:rsidR="0099365D" w:rsidRPr="00E747A2" w:rsidRDefault="00F3055D" w:rsidP="00F3055D">
      <w:pPr>
        <w:spacing w:line="480" w:lineRule="auto"/>
        <w:rPr>
          <w:bCs/>
          <w:i/>
          <w:color w:val="auto"/>
          <w:lang w:eastAsia="zh-CN"/>
        </w:rPr>
      </w:pPr>
      <w:r w:rsidRPr="00F3055D">
        <w:rPr>
          <w:bCs/>
          <w:i/>
          <w:color w:val="auto"/>
          <w:position w:val="-30"/>
          <w:lang w:eastAsia="zh-CN"/>
        </w:rPr>
        <w:object w:dxaOrig="4940" w:dyaOrig="720">
          <v:shape id="_x0000_i1026" type="#_x0000_t75" style="width:447pt;height:36.3pt" o:ole="">
            <v:imagedata r:id="rId14" o:title=""/>
          </v:shape>
          <o:OLEObject Type="Embed" ProgID="Equation.DSMT4" ShapeID="_x0000_i1026" DrawAspect="Content" ObjectID="_1658394917" r:id="rId15"/>
        </w:object>
      </w:r>
      <w:r w:rsidR="0034732C" w:rsidRPr="00E747A2">
        <w:rPr>
          <w:bCs/>
          <w:color w:val="auto"/>
          <w:lang w:eastAsia="zh-CN"/>
        </w:rPr>
        <w:t xml:space="preserve">Where: </w:t>
      </w:r>
      <w:r w:rsidR="0099365D" w:rsidRPr="00E747A2">
        <w:rPr>
          <w:bCs/>
          <w:color w:val="auto"/>
          <w:lang w:eastAsia="zh-CN"/>
        </w:rPr>
        <w:t>F</w:t>
      </w:r>
      <w:r w:rsidR="0099365D" w:rsidRPr="00E747A2">
        <w:rPr>
          <w:bCs/>
          <w:color w:val="auto"/>
          <w:vertAlign w:val="subscript"/>
          <w:lang w:eastAsia="zh-CN"/>
        </w:rPr>
        <w:t>intake</w:t>
      </w:r>
      <w:r w:rsidR="0099365D" w:rsidRPr="00E747A2">
        <w:rPr>
          <w:bCs/>
          <w:color w:val="auto"/>
          <w:lang w:eastAsia="zh-CN"/>
        </w:rPr>
        <w:t xml:space="preserve"> is the average daily </w:t>
      </w:r>
      <w:r w:rsidR="00FC5A4B" w:rsidRPr="00E747A2">
        <w:rPr>
          <w:bCs/>
          <w:color w:val="auto"/>
          <w:lang w:eastAsia="zh-CN"/>
        </w:rPr>
        <w:t xml:space="preserve">dry matter intake of </w:t>
      </w:r>
      <w:r w:rsidR="0099365D" w:rsidRPr="00E747A2">
        <w:rPr>
          <w:bCs/>
          <w:color w:val="auto"/>
          <w:lang w:eastAsia="zh-CN"/>
        </w:rPr>
        <w:t xml:space="preserve">P-free diet </w:t>
      </w:r>
      <w:r w:rsidR="00FC5A4B" w:rsidRPr="00E747A2">
        <w:rPr>
          <w:bCs/>
          <w:color w:val="auto"/>
          <w:lang w:eastAsia="zh-CN"/>
        </w:rPr>
        <w:t xml:space="preserve">(mg of DMI) </w:t>
      </w:r>
      <w:r w:rsidR="0099365D" w:rsidRPr="00E747A2">
        <w:rPr>
          <w:bCs/>
          <w:color w:val="auto"/>
          <w:lang w:eastAsia="zh-CN"/>
        </w:rPr>
        <w:t>during the feces collecti</w:t>
      </w:r>
      <w:r w:rsidR="0041353B" w:rsidRPr="00E747A2">
        <w:rPr>
          <w:bCs/>
          <w:color w:val="auto"/>
          <w:lang w:eastAsia="zh-CN"/>
        </w:rPr>
        <w:t>on period. P</w:t>
      </w:r>
      <w:r w:rsidR="0041353B" w:rsidRPr="00E747A2">
        <w:rPr>
          <w:bCs/>
          <w:color w:val="auto"/>
          <w:vertAlign w:val="subscript"/>
          <w:lang w:eastAsia="zh-CN"/>
        </w:rPr>
        <w:t>f</w:t>
      </w:r>
      <w:r w:rsidR="0099365D" w:rsidRPr="00E747A2">
        <w:rPr>
          <w:bCs/>
          <w:color w:val="auto"/>
          <w:vertAlign w:val="subscript"/>
          <w:lang w:eastAsia="zh-CN"/>
        </w:rPr>
        <w:t>eces</w:t>
      </w:r>
      <w:r w:rsidR="0099365D" w:rsidRPr="00E747A2">
        <w:rPr>
          <w:bCs/>
          <w:color w:val="auto"/>
          <w:lang w:eastAsia="zh-CN"/>
        </w:rPr>
        <w:t xml:space="preserve"> </w:t>
      </w:r>
      <w:r w:rsidR="0041353B" w:rsidRPr="00E747A2">
        <w:rPr>
          <w:bCs/>
          <w:color w:val="auto"/>
          <w:lang w:eastAsia="zh-CN"/>
        </w:rPr>
        <w:t>is the content of</w:t>
      </w:r>
      <w:r w:rsidR="006555B2" w:rsidRPr="00E747A2">
        <w:rPr>
          <w:bCs/>
          <w:color w:val="auto"/>
          <w:lang w:eastAsia="zh-CN"/>
        </w:rPr>
        <w:t xml:space="preserve"> </w:t>
      </w:r>
      <w:r w:rsidR="0041353B" w:rsidRPr="00E747A2">
        <w:rPr>
          <w:bCs/>
          <w:color w:val="auto"/>
          <w:lang w:eastAsia="zh-CN"/>
        </w:rPr>
        <w:t xml:space="preserve">phosphorus in </w:t>
      </w:r>
      <w:r w:rsidR="0099365D" w:rsidRPr="00E747A2">
        <w:rPr>
          <w:bCs/>
          <w:color w:val="auto"/>
          <w:lang w:eastAsia="zh-CN"/>
        </w:rPr>
        <w:t xml:space="preserve">the feces originated from the birds during the feces collection period </w:t>
      </w:r>
      <w:r w:rsidR="0041353B" w:rsidRPr="00E747A2">
        <w:rPr>
          <w:bCs/>
          <w:color w:val="auto"/>
          <w:lang w:eastAsia="zh-CN"/>
        </w:rPr>
        <w:t>based on dry matter</w:t>
      </w:r>
      <w:r w:rsidR="0099365D" w:rsidRPr="00E747A2">
        <w:rPr>
          <w:bCs/>
          <w:color w:val="auto"/>
          <w:lang w:eastAsia="zh-CN"/>
        </w:rPr>
        <w:t>.</w:t>
      </w:r>
    </w:p>
    <w:p w:rsidR="0099365D" w:rsidRPr="00E747A2" w:rsidRDefault="0034732C" w:rsidP="00BE2D61">
      <w:pPr>
        <w:spacing w:line="480" w:lineRule="auto"/>
        <w:rPr>
          <w:bCs/>
          <w:i/>
          <w:color w:val="auto"/>
          <w:lang w:eastAsia="zh-CN"/>
        </w:rPr>
      </w:pPr>
      <w:r w:rsidRPr="00E747A2">
        <w:rPr>
          <w:bCs/>
          <w:color w:val="auto"/>
          <w:lang w:eastAsia="zh-CN"/>
        </w:rPr>
        <w:t>True availability</w:t>
      </w:r>
      <w:r w:rsidR="006B708E">
        <w:rPr>
          <w:bCs/>
          <w:color w:val="auto"/>
          <w:lang w:eastAsia="zh-CN"/>
        </w:rPr>
        <w:t xml:space="preserve"> (TA)</w:t>
      </w:r>
      <w:r w:rsidRPr="00E747A2">
        <w:rPr>
          <w:bCs/>
          <w:color w:val="auto"/>
          <w:lang w:eastAsia="zh-CN"/>
        </w:rPr>
        <w:t xml:space="preserve"> of P was obtained by correcting </w:t>
      </w:r>
      <w:r w:rsidR="0099365D" w:rsidRPr="00E747A2">
        <w:rPr>
          <w:bCs/>
          <w:color w:val="auto"/>
          <w:lang w:eastAsia="zh-CN"/>
        </w:rPr>
        <w:t>apparent availability</w:t>
      </w:r>
      <w:r w:rsidR="001D1B88" w:rsidRPr="00E747A2">
        <w:rPr>
          <w:bCs/>
          <w:color w:val="auto"/>
          <w:lang w:eastAsia="zh-CN"/>
        </w:rPr>
        <w:t xml:space="preserve"> </w:t>
      </w:r>
      <w:r w:rsidR="00D14ADB" w:rsidRPr="00E747A2">
        <w:rPr>
          <w:bCs/>
          <w:color w:val="auto"/>
          <w:lang w:eastAsia="zh-CN"/>
        </w:rPr>
        <w:t>with</w:t>
      </w:r>
      <w:r w:rsidR="0099365D" w:rsidRPr="00E747A2">
        <w:rPr>
          <w:bCs/>
          <w:color w:val="auto"/>
          <w:lang w:eastAsia="zh-CN"/>
        </w:rPr>
        <w:t xml:space="preserve"> EPL value </w:t>
      </w:r>
      <w:r w:rsidRPr="00E747A2">
        <w:rPr>
          <w:bCs/>
          <w:color w:val="auto"/>
          <w:lang w:eastAsia="zh-CN"/>
        </w:rPr>
        <w:t>as</w:t>
      </w:r>
      <w:r w:rsidR="0099365D" w:rsidRPr="00E747A2">
        <w:rPr>
          <w:bCs/>
          <w:color w:val="auto"/>
          <w:lang w:eastAsia="zh-CN"/>
        </w:rPr>
        <w:t xml:space="preserve"> the formula </w:t>
      </w:r>
      <w:r w:rsidRPr="00E747A2">
        <w:rPr>
          <w:bCs/>
          <w:color w:val="auto"/>
          <w:lang w:eastAsia="zh-CN"/>
        </w:rPr>
        <w:t xml:space="preserve">provided </w:t>
      </w:r>
      <w:r w:rsidR="0099365D" w:rsidRPr="00E747A2">
        <w:rPr>
          <w:bCs/>
          <w:color w:val="auto"/>
          <w:lang w:eastAsia="zh-CN"/>
        </w:rPr>
        <w:t xml:space="preserve">by </w:t>
      </w:r>
      <w:r w:rsidR="00382493" w:rsidRPr="00E747A2">
        <w:rPr>
          <w:i/>
          <w:color w:val="auto"/>
          <w:lang w:eastAsia="zh-CN"/>
        </w:rPr>
        <w:fldChar w:fldCharType="begin" w:fldLock="1"/>
      </w:r>
      <w:r w:rsidR="000877D7">
        <w:rPr>
          <w:color w:val="auto"/>
          <w:lang w:eastAsia="zh-CN"/>
        </w:rPr>
        <w:instrText>ADDIN CSL_CITATION {"citationItems":[{"id":"ITEM-1","itemData":{"ISSN":"0022-3166","PMID":"11533284","abstract":"Methodology was developed for measuring the gastrointestinal endogenous phosphorus (P) outputs and true P digestibility values in studies with piglets. Four barrows, average initial body weight 6.8 kg, were fitted with a simple T-cannula at the distal ileum and fed four diets according to a 4 x 4 Latin square design. Four cornstarch-based diets containing four levels of P (1.1, 2.1, 3.2 and 4.3 g/kg diet) on a dry matter (DM) basis were formulated from soybean meal (SBM). Each experimental period comprised 8 d with a 4-d adaptation and 4-d collection of ileal digesta and feces. The apparent ileal and fecal P digestibility values in SBM were affected (P &lt; 0.05) by P levels in the assay diets. The ileal and fecal P digestibility values increased from -24.8 to 37.1% and from 18.8 to 42.5%, respectively, as P contents increased from 1.1 to 4.3 g/kg DM diet. Linear relationships (P &lt; 0.05), expressed as g/kg DM diet intake, between ileal and fecal outputs and dietary inputs of P, suggested that the endogenous P outputs can be determined by linear regression analysis. The endogenous P output was higher (P &lt; 0.05) in ileal digesta than in feces (0.86 +/- 0.09 vs. 0.31 +/- 0.06 g/kg DM diet intake). There was no difference (P &gt; 0.05) between the true ileal (50.7 +/- 7.1%) and fecal (48.5 +/- 5.4%) P digestibility values in SBM. These results suggest that differences in P contents between assay diets are primarily responsible for the large variability in apparent P digestibility values reported within the same ingredient. Apparent digestibility values underestimate the true digestive utilization of P by approximately 25%. True rather than apparent P digestibility values should be determined and used in diet formulation for pigs. In addition, this study shows that the gastrointestinal endogenous P output is important in whole-body P requirement and homeostasis.","author":[{"dropping-particle":"","family":"Fan","given":"M. Z.","non-dropping-particle":"","parse-names":false,"suffix":""},{"dropping-particle":"","family":"Archbold","given":"T.","non-dropping-particle":"","parse-names":false,"suffix":""},{"dropping-particle":"","family":"Sauer","given":"W. C.","non-dropping-particle":"","parse-names":false,"suffix":""},{"dropping-particle":"","family":"Lackeyram","given":"D.","non-dropping-particle":"","parse-names":false,"suffix":""},{"dropping-particle":"","family":"Rideout","given":"T.","non-dropping-particle":"","parse-names":false,"suffix":""},{"dropping-particle":"","family":"Gao","given":"Y.","non-dropping-particle":"","parse-names":false,"suffix":""},{"dropping-particle":"","family":"Lange","given":"C. F.","non-dropping-particle":"de","parse-names":false,"suffix":""},{"dropping-particle":"","family":"Hacker","given":"R. R.","non-dropping-particle":"","parse-names":false,"suffix":""}],"container-title":"The Journal of nutrition","id":"ITEM-1","issue":"9","issued":{"date-parts":[["2001"]]},"page":"2388-2396","title":"Novel methodology allows simultaneous measurement of true phosphorus digestibility and the gastrointestinal endogenous phosphorus outputs in studies with pigs","type":"article-journal","volume":"131"},"uris":["http://www.mendeley.com/documents/?uuid=8f381afa-6ac3-421e-9cdf-ad51ff987ff6"]}],"mendeley":{"formattedCitation":"(Fan et al. 2001)","manualFormatting":"Fan et al. (2001)","plainTextFormattedCitation":"(Fan et al. 2001)","previouslyFormattedCitation":"(Fan et al., 2001)"},"properties":{"noteIndex":0},"schema":"https://github.com/citation-style-language/schema/raw/master/csl-citation.json"}</w:instrText>
      </w:r>
      <w:r w:rsidR="00382493" w:rsidRPr="00E747A2">
        <w:rPr>
          <w:i/>
          <w:color w:val="auto"/>
          <w:lang w:eastAsia="zh-CN"/>
        </w:rPr>
        <w:fldChar w:fldCharType="separate"/>
      </w:r>
      <w:r w:rsidR="00215350" w:rsidRPr="00E747A2">
        <w:rPr>
          <w:noProof/>
          <w:color w:val="auto"/>
          <w:lang w:eastAsia="zh-CN"/>
        </w:rPr>
        <w:t>Fan et al.</w:t>
      </w:r>
      <w:r w:rsidR="00AB3728" w:rsidRPr="00E747A2">
        <w:rPr>
          <w:noProof/>
          <w:color w:val="auto"/>
          <w:lang w:eastAsia="zh-CN"/>
        </w:rPr>
        <w:t xml:space="preserve"> </w:t>
      </w:r>
      <w:r w:rsidR="00215350" w:rsidRPr="00E747A2">
        <w:rPr>
          <w:noProof/>
          <w:color w:val="auto"/>
          <w:lang w:eastAsia="zh-CN"/>
        </w:rPr>
        <w:t>(</w:t>
      </w:r>
      <w:r w:rsidR="00AB3728" w:rsidRPr="00E747A2">
        <w:rPr>
          <w:noProof/>
          <w:color w:val="auto"/>
          <w:lang w:eastAsia="zh-CN"/>
        </w:rPr>
        <w:t>2001)</w:t>
      </w:r>
      <w:r w:rsidR="00382493" w:rsidRPr="00E747A2">
        <w:rPr>
          <w:i/>
          <w:color w:val="auto"/>
          <w:lang w:eastAsia="zh-CN"/>
        </w:rPr>
        <w:fldChar w:fldCharType="end"/>
      </w:r>
    </w:p>
    <w:p w:rsidR="00F3055D" w:rsidRDefault="00661675" w:rsidP="00BE2D61">
      <w:pPr>
        <w:spacing w:line="480" w:lineRule="auto"/>
        <w:rPr>
          <w:bCs/>
          <w:color w:val="auto"/>
          <w:lang w:eastAsia="zh-CN"/>
        </w:rPr>
      </w:pPr>
      <w:r w:rsidRPr="00661675">
        <w:rPr>
          <w:bCs/>
          <w:color w:val="auto"/>
          <w:position w:val="-32"/>
          <w:lang w:eastAsia="zh-CN"/>
        </w:rPr>
        <w:object w:dxaOrig="7520" w:dyaOrig="700">
          <v:shape id="_x0000_i1027" type="#_x0000_t75" style="width:437.2pt;height:35.15pt" o:ole="">
            <v:imagedata r:id="rId16" o:title=""/>
          </v:shape>
          <o:OLEObject Type="Embed" ProgID="Equation.DSMT4" ShapeID="_x0000_i1027" DrawAspect="Content" ObjectID="_1658394918" r:id="rId17"/>
        </w:object>
      </w:r>
    </w:p>
    <w:p w:rsidR="0099365D" w:rsidRPr="00E747A2" w:rsidRDefault="0099365D" w:rsidP="00BE2D61">
      <w:pPr>
        <w:spacing w:line="480" w:lineRule="auto"/>
        <w:rPr>
          <w:bCs/>
          <w:i/>
          <w:color w:val="auto"/>
          <w:lang w:eastAsia="zh-CN"/>
        </w:rPr>
      </w:pPr>
      <w:r w:rsidRPr="00E747A2">
        <w:rPr>
          <w:bCs/>
          <w:color w:val="auto"/>
          <w:lang w:eastAsia="zh-CN"/>
        </w:rPr>
        <w:t>Where</w:t>
      </w:r>
      <w:r w:rsidR="0034732C" w:rsidRPr="00E747A2">
        <w:rPr>
          <w:bCs/>
          <w:color w:val="auto"/>
          <w:lang w:eastAsia="zh-CN"/>
        </w:rPr>
        <w:t xml:space="preserve">: </w:t>
      </w:r>
      <w:r w:rsidRPr="00E747A2">
        <w:rPr>
          <w:bCs/>
          <w:color w:val="auto"/>
          <w:lang w:eastAsia="zh-CN"/>
        </w:rPr>
        <w:t xml:space="preserve">EPL </w:t>
      </w:r>
      <w:r w:rsidR="0034732C" w:rsidRPr="00E747A2">
        <w:rPr>
          <w:bCs/>
          <w:color w:val="auto"/>
          <w:lang w:eastAsia="zh-CN"/>
        </w:rPr>
        <w:t xml:space="preserve">is endogenous P loss of P, </w:t>
      </w:r>
      <w:r w:rsidRPr="00E747A2">
        <w:rPr>
          <w:bCs/>
          <w:color w:val="auto"/>
          <w:lang w:eastAsia="zh-CN"/>
        </w:rPr>
        <w:t>and P</w:t>
      </w:r>
      <w:r w:rsidRPr="00E747A2">
        <w:rPr>
          <w:bCs/>
          <w:color w:val="auto"/>
          <w:vertAlign w:val="subscript"/>
          <w:lang w:eastAsia="zh-CN"/>
        </w:rPr>
        <w:t>feed</w:t>
      </w:r>
      <w:r w:rsidRPr="00E747A2">
        <w:rPr>
          <w:bCs/>
          <w:color w:val="auto"/>
          <w:lang w:eastAsia="zh-CN"/>
        </w:rPr>
        <w:t xml:space="preserve"> is </w:t>
      </w:r>
      <w:r w:rsidR="0034732C" w:rsidRPr="00E747A2">
        <w:rPr>
          <w:bCs/>
          <w:color w:val="auto"/>
          <w:lang w:eastAsia="zh-CN"/>
        </w:rPr>
        <w:t xml:space="preserve">the content of phosphorus in </w:t>
      </w:r>
      <w:r w:rsidR="004D58D0" w:rsidRPr="00E747A2">
        <w:rPr>
          <w:bCs/>
          <w:color w:val="auto"/>
          <w:lang w:eastAsia="zh-CN"/>
        </w:rPr>
        <w:t xml:space="preserve">the </w:t>
      </w:r>
      <w:r w:rsidR="0034732C" w:rsidRPr="00E747A2">
        <w:rPr>
          <w:bCs/>
          <w:color w:val="auto"/>
          <w:lang w:eastAsia="zh-CN"/>
        </w:rPr>
        <w:t>diet.</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iCs/>
          <w:color w:val="auto"/>
          <w:sz w:val="24"/>
          <w:szCs w:val="24"/>
          <w:lang w:eastAsia="zh-CN"/>
        </w:rPr>
      </w:pPr>
      <w:r w:rsidRPr="00E747A2">
        <w:rPr>
          <w:rFonts w:ascii="Times New Roman" w:hAnsi="Times New Roman" w:cs="Times New Roman"/>
          <w:iCs/>
          <w:color w:val="auto"/>
          <w:sz w:val="24"/>
          <w:szCs w:val="24"/>
          <w:lang w:eastAsia="zh-CN"/>
        </w:rPr>
        <w:t xml:space="preserve"> </w:t>
      </w:r>
      <w:r w:rsidR="0099365D" w:rsidRPr="00E747A2">
        <w:rPr>
          <w:rFonts w:ascii="Times New Roman" w:hAnsi="Times New Roman" w:cs="Times New Roman"/>
          <w:iCs/>
          <w:color w:val="auto"/>
          <w:sz w:val="24"/>
          <w:szCs w:val="24"/>
          <w:lang w:eastAsia="zh-CN"/>
        </w:rPr>
        <w:t xml:space="preserve">Statistical </w:t>
      </w:r>
      <w:r w:rsidRPr="00E747A2">
        <w:rPr>
          <w:rFonts w:ascii="Times New Roman" w:hAnsi="Times New Roman" w:cs="Times New Roman"/>
          <w:iCs/>
          <w:color w:val="auto"/>
          <w:sz w:val="24"/>
          <w:szCs w:val="24"/>
          <w:lang w:eastAsia="zh-CN"/>
        </w:rPr>
        <w:t>a</w:t>
      </w:r>
      <w:r w:rsidR="001C1BBC" w:rsidRPr="00E747A2">
        <w:rPr>
          <w:rFonts w:ascii="Times New Roman" w:hAnsi="Times New Roman" w:cs="Times New Roman"/>
          <w:iCs/>
          <w:color w:val="auto"/>
          <w:sz w:val="24"/>
          <w:szCs w:val="24"/>
          <w:lang w:eastAsia="zh-CN"/>
        </w:rPr>
        <w:t xml:space="preserve">nalysis </w:t>
      </w:r>
    </w:p>
    <w:p w:rsidR="0099365D" w:rsidRPr="00E747A2" w:rsidRDefault="006B708E" w:rsidP="00BE2D61">
      <w:pPr>
        <w:spacing w:line="480" w:lineRule="auto"/>
        <w:rPr>
          <w:i/>
          <w:color w:val="auto"/>
          <w:lang w:eastAsia="zh-CN"/>
        </w:rPr>
      </w:pPr>
      <w:r>
        <w:rPr>
          <w:color w:val="auto"/>
          <w:lang w:eastAsia="zh-CN"/>
        </w:rPr>
        <w:t>The n</w:t>
      </w:r>
      <w:r w:rsidR="0099365D" w:rsidRPr="00E747A2">
        <w:rPr>
          <w:color w:val="auto"/>
          <w:lang w:eastAsia="zh-CN"/>
        </w:rPr>
        <w:t xml:space="preserve">ormality of the data was analyzed and confirmed using the </w:t>
      </w:r>
      <w:r>
        <w:rPr>
          <w:color w:val="auto"/>
          <w:lang w:eastAsia="zh-CN"/>
        </w:rPr>
        <w:t>general linear model (</w:t>
      </w:r>
      <w:r w:rsidR="0099365D" w:rsidRPr="00E747A2">
        <w:rPr>
          <w:color w:val="auto"/>
          <w:lang w:eastAsia="zh-CN"/>
        </w:rPr>
        <w:t>GLM</w:t>
      </w:r>
      <w:r>
        <w:rPr>
          <w:color w:val="auto"/>
          <w:lang w:eastAsia="zh-CN"/>
        </w:rPr>
        <w:t>)</w:t>
      </w:r>
      <w:r w:rsidR="0099365D" w:rsidRPr="00E747A2">
        <w:rPr>
          <w:color w:val="auto"/>
          <w:lang w:eastAsia="zh-CN"/>
        </w:rPr>
        <w:t xml:space="preserve"> procedure (SAS Inst. Inc., Cary, NC). Outliers were tested using the UNIVARIATE procedure in SAS, but no outlier was observed. All data </w:t>
      </w:r>
      <w:r w:rsidR="004D58D0" w:rsidRPr="00E747A2">
        <w:rPr>
          <w:color w:val="auto"/>
          <w:lang w:eastAsia="zh-CN"/>
        </w:rPr>
        <w:t>were</w:t>
      </w:r>
      <w:r w:rsidR="0099365D" w:rsidRPr="00E747A2">
        <w:rPr>
          <w:color w:val="auto"/>
          <w:lang w:eastAsia="zh-CN"/>
        </w:rPr>
        <w:t xml:space="preserve"> analyzed by </w:t>
      </w:r>
      <w:r w:rsidR="004D58D0" w:rsidRPr="00E747A2">
        <w:rPr>
          <w:color w:val="auto"/>
          <w:lang w:eastAsia="zh-CN"/>
        </w:rPr>
        <w:t xml:space="preserve">a </w:t>
      </w:r>
      <w:r w:rsidR="0099365D" w:rsidRPr="00E747A2">
        <w:rPr>
          <w:color w:val="auto"/>
          <w:lang w:eastAsia="zh-CN"/>
        </w:rPr>
        <w:t xml:space="preserve">two-way </w:t>
      </w:r>
      <w:r>
        <w:rPr>
          <w:color w:val="auto"/>
          <w:lang w:eastAsia="zh-CN"/>
        </w:rPr>
        <w:t>analysis of variance (</w:t>
      </w:r>
      <w:r w:rsidR="0099365D" w:rsidRPr="00E747A2">
        <w:rPr>
          <w:color w:val="auto"/>
          <w:lang w:eastAsia="zh-CN"/>
        </w:rPr>
        <w:t>ANOVA</w:t>
      </w:r>
      <w:r>
        <w:rPr>
          <w:color w:val="auto"/>
          <w:lang w:eastAsia="zh-CN"/>
        </w:rPr>
        <w:t>)</w:t>
      </w:r>
      <w:r w:rsidR="0099365D" w:rsidRPr="00E747A2">
        <w:rPr>
          <w:color w:val="auto"/>
          <w:lang w:eastAsia="zh-CN"/>
        </w:rPr>
        <w:t xml:space="preserve"> procedure of SAS</w:t>
      </w:r>
      <w:r>
        <w:rPr>
          <w:color w:val="auto"/>
          <w:lang w:eastAsia="zh-CN"/>
        </w:rPr>
        <w:t xml:space="preserve"> statistical software</w:t>
      </w:r>
      <w:r w:rsidR="0099365D" w:rsidRPr="00E747A2">
        <w:rPr>
          <w:color w:val="auto"/>
          <w:lang w:eastAsia="zh-CN"/>
        </w:rPr>
        <w:t>. Multiple comparisons among means were carried</w:t>
      </w:r>
      <w:r w:rsidR="002E2E82" w:rsidRPr="00E747A2">
        <w:rPr>
          <w:color w:val="auto"/>
          <w:lang w:eastAsia="zh-CN"/>
        </w:rPr>
        <w:t xml:space="preserve"> out</w:t>
      </w:r>
      <w:r w:rsidR="0099365D" w:rsidRPr="00E747A2">
        <w:rPr>
          <w:color w:val="auto"/>
          <w:lang w:eastAsia="zh-CN"/>
        </w:rPr>
        <w:t xml:space="preserve"> by Tukey’s test. The α-level of 0.05 was used to determine significance among means.</w:t>
      </w:r>
    </w:p>
    <w:p w:rsidR="0099365D" w:rsidRPr="00E747A2" w:rsidRDefault="005E0E2B" w:rsidP="00BE2D61">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r w:rsidRPr="00E747A2">
        <w:rPr>
          <w:rFonts w:ascii="Times New Roman" w:hAnsi="Times New Roman" w:cs="Times New Roman"/>
          <w:color w:val="auto"/>
          <w:sz w:val="24"/>
          <w:szCs w:val="24"/>
        </w:rPr>
        <w:t>Results</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t xml:space="preserve"> </w:t>
      </w:r>
      <w:r w:rsidR="0099365D" w:rsidRPr="00E747A2">
        <w:rPr>
          <w:rFonts w:ascii="Times New Roman" w:hAnsi="Times New Roman" w:cs="Times New Roman"/>
          <w:color w:val="auto"/>
          <w:sz w:val="24"/>
          <w:szCs w:val="24"/>
        </w:rPr>
        <w:t xml:space="preserve">Chemical </w:t>
      </w:r>
      <w:r w:rsidRPr="00E747A2">
        <w:rPr>
          <w:rFonts w:ascii="Times New Roman" w:hAnsi="Times New Roman" w:cs="Times New Roman"/>
          <w:color w:val="auto"/>
          <w:sz w:val="24"/>
          <w:szCs w:val="24"/>
        </w:rPr>
        <w:t>components of i</w:t>
      </w:r>
      <w:r w:rsidR="001C1BBC" w:rsidRPr="00E747A2">
        <w:rPr>
          <w:rFonts w:ascii="Times New Roman" w:hAnsi="Times New Roman" w:cs="Times New Roman"/>
          <w:color w:val="auto"/>
          <w:sz w:val="24"/>
          <w:szCs w:val="24"/>
        </w:rPr>
        <w:t>ngredients</w:t>
      </w:r>
    </w:p>
    <w:p w:rsidR="00257313" w:rsidRPr="00E747A2" w:rsidRDefault="0099365D" w:rsidP="00BE2D61">
      <w:pPr>
        <w:spacing w:line="480" w:lineRule="auto"/>
        <w:rPr>
          <w:b/>
          <w:color w:val="auto"/>
        </w:rPr>
      </w:pPr>
      <w:r w:rsidRPr="00E747A2">
        <w:rPr>
          <w:color w:val="auto"/>
        </w:rPr>
        <w:t xml:space="preserve">The ingredients composition of test diets </w:t>
      </w:r>
      <w:r w:rsidR="002E2E82" w:rsidRPr="00E747A2">
        <w:rPr>
          <w:color w:val="auto"/>
        </w:rPr>
        <w:t xml:space="preserve">from this experiment </w:t>
      </w:r>
      <w:r w:rsidRPr="00E747A2">
        <w:rPr>
          <w:color w:val="auto"/>
        </w:rPr>
        <w:t xml:space="preserve">is presented in Table </w:t>
      </w:r>
      <w:r w:rsidR="000D427B" w:rsidRPr="00E747A2">
        <w:rPr>
          <w:color w:val="auto"/>
        </w:rPr>
        <w:t>1</w:t>
      </w:r>
      <w:r w:rsidRPr="00E747A2">
        <w:rPr>
          <w:color w:val="auto"/>
        </w:rPr>
        <w:t xml:space="preserve">. </w:t>
      </w:r>
      <w:r w:rsidR="00A74C06" w:rsidRPr="00E747A2">
        <w:rPr>
          <w:color w:val="auto"/>
        </w:rPr>
        <w:t>Corn DDGS</w:t>
      </w:r>
      <w:r w:rsidR="000D427B" w:rsidRPr="00E747A2">
        <w:rPr>
          <w:color w:val="auto"/>
        </w:rPr>
        <w:t xml:space="preserve"> have t</w:t>
      </w:r>
      <w:r w:rsidRPr="00E747A2">
        <w:rPr>
          <w:color w:val="auto"/>
        </w:rPr>
        <w:t xml:space="preserve">he </w:t>
      </w:r>
      <w:r w:rsidR="000D427B" w:rsidRPr="00E747A2">
        <w:rPr>
          <w:color w:val="auto"/>
        </w:rPr>
        <w:t xml:space="preserve">highest percentage of non-phytate P (NPP) in </w:t>
      </w:r>
      <w:r w:rsidR="002E2E82" w:rsidRPr="00E747A2">
        <w:rPr>
          <w:color w:val="auto"/>
        </w:rPr>
        <w:t xml:space="preserve">a </w:t>
      </w:r>
      <w:r w:rsidRPr="00E747A2">
        <w:rPr>
          <w:color w:val="auto"/>
        </w:rPr>
        <w:t>total P</w:t>
      </w:r>
      <w:r w:rsidR="008656F6" w:rsidRPr="00E747A2">
        <w:rPr>
          <w:color w:val="auto"/>
        </w:rPr>
        <w:t xml:space="preserve"> (93.33</w:t>
      </w:r>
      <w:r w:rsidR="000D427B" w:rsidRPr="00E747A2">
        <w:rPr>
          <w:color w:val="auto"/>
        </w:rPr>
        <w:t>%), and peanut meal has the lowest percentage</w:t>
      </w:r>
      <w:r w:rsidR="005054B5" w:rsidRPr="00E747A2">
        <w:rPr>
          <w:color w:val="auto"/>
        </w:rPr>
        <w:t xml:space="preserve"> (18.42%)</w:t>
      </w:r>
      <w:r w:rsidR="000D427B" w:rsidRPr="00E747A2">
        <w:rPr>
          <w:color w:val="auto"/>
        </w:rPr>
        <w:t>.</w:t>
      </w:r>
      <w:r w:rsidR="00F151B8" w:rsidRPr="00E747A2">
        <w:rPr>
          <w:color w:val="auto"/>
        </w:rPr>
        <w:t xml:space="preserve"> </w:t>
      </w:r>
      <w:r w:rsidR="002E2E82" w:rsidRPr="00E747A2">
        <w:rPr>
          <w:color w:val="auto"/>
        </w:rPr>
        <w:t>The remaining ingredients</w:t>
      </w:r>
      <w:r w:rsidR="00F151B8" w:rsidRPr="00E747A2">
        <w:rPr>
          <w:color w:val="auto"/>
        </w:rPr>
        <w:t xml:space="preserve"> have about 30</w:t>
      </w:r>
      <w:r w:rsidR="00F53A2E" w:rsidRPr="00E747A2">
        <w:rPr>
          <w:color w:val="auto"/>
        </w:rPr>
        <w:t>.01</w:t>
      </w:r>
      <w:r w:rsidR="00F151B8" w:rsidRPr="00E747A2">
        <w:rPr>
          <w:color w:val="auto"/>
        </w:rPr>
        <w:t xml:space="preserve">% NPP </w:t>
      </w:r>
      <w:r w:rsidR="00F53A2E" w:rsidRPr="00E747A2">
        <w:rPr>
          <w:color w:val="auto"/>
        </w:rPr>
        <w:t>of</w:t>
      </w:r>
      <w:r w:rsidR="00F151B8" w:rsidRPr="00E747A2">
        <w:rPr>
          <w:color w:val="auto"/>
        </w:rPr>
        <w:t xml:space="preserve"> total P, which</w:t>
      </w:r>
      <w:r w:rsidR="006107A2" w:rsidRPr="00E747A2">
        <w:rPr>
          <w:color w:val="auto"/>
        </w:rPr>
        <w:t xml:space="preserve"> is </w:t>
      </w:r>
      <w:r w:rsidR="008656F6" w:rsidRPr="00E747A2">
        <w:rPr>
          <w:color w:val="auto"/>
        </w:rPr>
        <w:t>from 20</w:t>
      </w:r>
      <w:r w:rsidR="001A1622" w:rsidRPr="00E747A2">
        <w:rPr>
          <w:color w:val="auto"/>
        </w:rPr>
        <w:t>.</w:t>
      </w:r>
      <w:r w:rsidR="008656F6" w:rsidRPr="00E747A2">
        <w:rPr>
          <w:color w:val="auto"/>
        </w:rPr>
        <w:t>90</w:t>
      </w:r>
      <w:r w:rsidR="001A1622" w:rsidRPr="00E747A2">
        <w:rPr>
          <w:color w:val="auto"/>
        </w:rPr>
        <w:t xml:space="preserve">% of wheat </w:t>
      </w:r>
      <w:r w:rsidR="008656F6" w:rsidRPr="00E747A2">
        <w:rPr>
          <w:color w:val="auto"/>
        </w:rPr>
        <w:t>bran</w:t>
      </w:r>
      <w:r w:rsidR="001A1622" w:rsidRPr="00E747A2">
        <w:rPr>
          <w:color w:val="auto"/>
        </w:rPr>
        <w:t xml:space="preserve"> to 37.29% of soybean meal.</w:t>
      </w:r>
      <w:r w:rsidR="00C33CE6" w:rsidRPr="00E747A2">
        <w:rPr>
          <w:color w:val="auto"/>
        </w:rPr>
        <w:t xml:space="preserve"> </w:t>
      </w:r>
      <w:r w:rsidR="00F56DB3" w:rsidRPr="00E747A2">
        <w:rPr>
          <w:color w:val="auto"/>
        </w:rPr>
        <w:t>T</w:t>
      </w:r>
      <w:r w:rsidR="004D58D0" w:rsidRPr="00E747A2">
        <w:rPr>
          <w:color w:val="auto"/>
        </w:rPr>
        <w:t xml:space="preserve">he </w:t>
      </w:r>
      <w:r w:rsidR="001A1622" w:rsidRPr="00E747A2">
        <w:rPr>
          <w:color w:val="auto"/>
        </w:rPr>
        <w:t xml:space="preserve">phytase activity of </w:t>
      </w:r>
      <w:r w:rsidRPr="00E747A2">
        <w:rPr>
          <w:color w:val="auto"/>
        </w:rPr>
        <w:t>test diet</w:t>
      </w:r>
      <w:r w:rsidR="001A1622" w:rsidRPr="00E747A2">
        <w:rPr>
          <w:color w:val="auto"/>
        </w:rPr>
        <w:t>s</w:t>
      </w:r>
      <w:r w:rsidR="00F56DB3" w:rsidRPr="00E747A2">
        <w:rPr>
          <w:color w:val="auto"/>
        </w:rPr>
        <w:t xml:space="preserve"> was</w:t>
      </w:r>
      <w:r w:rsidR="001A1622" w:rsidRPr="00E747A2">
        <w:rPr>
          <w:color w:val="auto"/>
        </w:rPr>
        <w:t xml:space="preserve"> </w:t>
      </w:r>
      <w:r w:rsidR="00F56DB3" w:rsidRPr="00E747A2">
        <w:rPr>
          <w:color w:val="auto"/>
        </w:rPr>
        <w:t xml:space="preserve">determined </w:t>
      </w:r>
      <w:r w:rsidR="007560B3" w:rsidRPr="00E747A2">
        <w:rPr>
          <w:color w:val="auto"/>
        </w:rPr>
        <w:t>(Table 3) a</w:t>
      </w:r>
      <w:r w:rsidR="001A1622" w:rsidRPr="00E747A2">
        <w:rPr>
          <w:color w:val="auto"/>
        </w:rPr>
        <w:t>nd</w:t>
      </w:r>
      <w:r w:rsidR="00F56DB3" w:rsidRPr="00E747A2">
        <w:rPr>
          <w:color w:val="auto"/>
        </w:rPr>
        <w:t xml:space="preserve"> </w:t>
      </w:r>
      <w:r w:rsidR="001A1622" w:rsidRPr="00E747A2">
        <w:rPr>
          <w:color w:val="auto"/>
        </w:rPr>
        <w:t>calculated</w:t>
      </w:r>
      <w:r w:rsidR="002E2E82" w:rsidRPr="00E747A2">
        <w:rPr>
          <w:color w:val="auto"/>
        </w:rPr>
        <w:t xml:space="preserve"> as</w:t>
      </w:r>
      <w:r w:rsidR="001A1622" w:rsidRPr="00E747A2">
        <w:rPr>
          <w:color w:val="auto"/>
        </w:rPr>
        <w:t xml:space="preserve"> </w:t>
      </w:r>
      <w:r w:rsidR="00DA6967" w:rsidRPr="00E747A2">
        <w:rPr>
          <w:color w:val="auto"/>
        </w:rPr>
        <w:t>1445</w:t>
      </w:r>
      <w:r w:rsidR="001A1622" w:rsidRPr="00E747A2">
        <w:rPr>
          <w:color w:val="auto"/>
        </w:rPr>
        <w:t xml:space="preserve"> for </w:t>
      </w:r>
      <w:r w:rsidRPr="00E747A2">
        <w:rPr>
          <w:color w:val="auto"/>
        </w:rPr>
        <w:t xml:space="preserve">WB, </w:t>
      </w:r>
      <w:r w:rsidR="00B20677" w:rsidRPr="00E747A2">
        <w:rPr>
          <w:color w:val="auto"/>
        </w:rPr>
        <w:t>505</w:t>
      </w:r>
      <w:r w:rsidR="001A1622" w:rsidRPr="00E747A2">
        <w:rPr>
          <w:color w:val="auto"/>
        </w:rPr>
        <w:t xml:space="preserve"> for </w:t>
      </w:r>
      <w:r w:rsidR="007560B3" w:rsidRPr="00E747A2">
        <w:rPr>
          <w:color w:val="auto"/>
        </w:rPr>
        <w:t>WG</w:t>
      </w:r>
      <w:r w:rsidR="00DA6967" w:rsidRPr="00E747A2">
        <w:rPr>
          <w:color w:val="auto"/>
        </w:rPr>
        <w:t>,</w:t>
      </w:r>
      <w:r w:rsidRPr="00E747A2">
        <w:rPr>
          <w:color w:val="auto"/>
        </w:rPr>
        <w:t xml:space="preserve"> and </w:t>
      </w:r>
      <w:r w:rsidR="00B20677" w:rsidRPr="00E747A2">
        <w:rPr>
          <w:color w:val="auto"/>
        </w:rPr>
        <w:t>15</w:t>
      </w:r>
      <w:r w:rsidR="001A1622" w:rsidRPr="00E747A2">
        <w:rPr>
          <w:color w:val="auto"/>
        </w:rPr>
        <w:t>7</w:t>
      </w:r>
      <w:r w:rsidR="00B20677" w:rsidRPr="00E747A2">
        <w:rPr>
          <w:color w:val="auto"/>
        </w:rPr>
        <w:t>0</w:t>
      </w:r>
      <w:r w:rsidR="001A1622" w:rsidRPr="00E747A2">
        <w:rPr>
          <w:color w:val="auto"/>
        </w:rPr>
        <w:t xml:space="preserve"> for </w:t>
      </w:r>
      <w:r w:rsidRPr="00E747A2">
        <w:rPr>
          <w:color w:val="auto"/>
        </w:rPr>
        <w:t>WM</w:t>
      </w:r>
      <w:r w:rsidR="007560B3" w:rsidRPr="00E747A2">
        <w:rPr>
          <w:color w:val="auto"/>
        </w:rPr>
        <w:t>.</w:t>
      </w:r>
      <w:r w:rsidR="000B15B6" w:rsidRPr="00E747A2">
        <w:rPr>
          <w:color w:val="auto"/>
        </w:rPr>
        <w:t xml:space="preserve"> </w:t>
      </w:r>
      <w:r w:rsidR="007560B3" w:rsidRPr="00E747A2">
        <w:rPr>
          <w:color w:val="auto"/>
        </w:rPr>
        <w:t>N</w:t>
      </w:r>
      <w:r w:rsidR="001A1622" w:rsidRPr="00E747A2">
        <w:rPr>
          <w:color w:val="auto"/>
        </w:rPr>
        <w:t>o phytase activity</w:t>
      </w:r>
      <w:r w:rsidR="000B15B6" w:rsidRPr="00E747A2">
        <w:rPr>
          <w:color w:val="auto"/>
        </w:rPr>
        <w:t xml:space="preserve"> </w:t>
      </w:r>
      <w:r w:rsidR="001A1622" w:rsidRPr="00E747A2">
        <w:rPr>
          <w:color w:val="auto"/>
        </w:rPr>
        <w:t xml:space="preserve">was detected for </w:t>
      </w:r>
      <w:r w:rsidR="007560B3" w:rsidRPr="00E747A2">
        <w:rPr>
          <w:color w:val="auto"/>
        </w:rPr>
        <w:t>SBM, CNM, PM</w:t>
      </w:r>
      <w:r w:rsidR="00DA6967" w:rsidRPr="00E747A2">
        <w:rPr>
          <w:color w:val="auto"/>
        </w:rPr>
        <w:t>,</w:t>
      </w:r>
      <w:r w:rsidRPr="00E747A2">
        <w:rPr>
          <w:color w:val="auto"/>
        </w:rPr>
        <w:t xml:space="preserve"> and </w:t>
      </w:r>
      <w:r w:rsidR="00A74C06" w:rsidRPr="00E747A2">
        <w:rPr>
          <w:color w:val="auto"/>
        </w:rPr>
        <w:t>Corn DDGS</w:t>
      </w:r>
      <w:r w:rsidR="001A1622" w:rsidRPr="00E747A2">
        <w:rPr>
          <w:color w:val="auto"/>
        </w:rPr>
        <w:t>.</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t xml:space="preserve"> </w:t>
      </w:r>
      <w:r w:rsidR="0099365D" w:rsidRPr="00E747A2">
        <w:rPr>
          <w:rFonts w:ascii="Times New Roman" w:hAnsi="Times New Roman" w:cs="Times New Roman"/>
          <w:color w:val="auto"/>
          <w:sz w:val="24"/>
          <w:szCs w:val="24"/>
        </w:rPr>
        <w:t xml:space="preserve">Endogenous </w:t>
      </w:r>
      <w:r w:rsidRPr="00E747A2">
        <w:rPr>
          <w:rFonts w:ascii="Times New Roman" w:hAnsi="Times New Roman" w:cs="Times New Roman"/>
          <w:color w:val="auto"/>
          <w:sz w:val="24"/>
          <w:szCs w:val="24"/>
        </w:rPr>
        <w:t>loss of p</w:t>
      </w:r>
      <w:r w:rsidR="001C1BBC" w:rsidRPr="00E747A2">
        <w:rPr>
          <w:rFonts w:ascii="Times New Roman" w:hAnsi="Times New Roman" w:cs="Times New Roman"/>
          <w:color w:val="auto"/>
          <w:sz w:val="24"/>
          <w:szCs w:val="24"/>
        </w:rPr>
        <w:t>hosphorus</w:t>
      </w:r>
    </w:p>
    <w:p w:rsidR="0099365D" w:rsidRPr="00E747A2" w:rsidRDefault="000D4526" w:rsidP="00BE2D61">
      <w:pPr>
        <w:spacing w:line="480" w:lineRule="auto"/>
        <w:rPr>
          <w:b/>
          <w:color w:val="auto"/>
        </w:rPr>
      </w:pPr>
      <w:r w:rsidRPr="00E747A2">
        <w:rPr>
          <w:rFonts w:eastAsia="SimSun"/>
          <w:color w:val="auto"/>
          <w:lang w:eastAsia="zh-CN"/>
        </w:rPr>
        <w:t xml:space="preserve">The determined average </w:t>
      </w:r>
      <w:r w:rsidRPr="00E747A2">
        <w:rPr>
          <w:color w:val="auto"/>
        </w:rPr>
        <w:t xml:space="preserve">endogenous phosphorus loss (EPL) was 97.45 mg/kg DMI. </w:t>
      </w:r>
      <w:r w:rsidR="007461C0" w:rsidRPr="00E747A2">
        <w:rPr>
          <w:rFonts w:eastAsia="SimSun"/>
          <w:color w:val="auto"/>
          <w:lang w:eastAsia="zh-CN"/>
        </w:rPr>
        <w:t xml:space="preserve">The intake of P from </w:t>
      </w:r>
      <w:r w:rsidR="004D58D0" w:rsidRPr="00E747A2">
        <w:rPr>
          <w:rFonts w:eastAsia="SimSun"/>
          <w:color w:val="auto"/>
          <w:lang w:eastAsia="zh-CN"/>
        </w:rPr>
        <w:t xml:space="preserve">a </w:t>
      </w:r>
      <w:r w:rsidR="007461C0" w:rsidRPr="00E747A2">
        <w:rPr>
          <w:rFonts w:eastAsia="SimSun"/>
          <w:color w:val="auto"/>
          <w:lang w:eastAsia="zh-CN"/>
        </w:rPr>
        <w:t xml:space="preserve">P-free diet was extremely lower levels which </w:t>
      </w:r>
      <w:r w:rsidR="004D58D0" w:rsidRPr="00E747A2">
        <w:rPr>
          <w:rFonts w:eastAsia="SimSun"/>
          <w:color w:val="auto"/>
          <w:lang w:eastAsia="zh-CN"/>
        </w:rPr>
        <w:t>were</w:t>
      </w:r>
      <w:r w:rsidR="007461C0" w:rsidRPr="00E747A2">
        <w:rPr>
          <w:rFonts w:eastAsia="SimSun"/>
          <w:color w:val="auto"/>
          <w:lang w:eastAsia="zh-CN"/>
        </w:rPr>
        <w:t xml:space="preserve"> </w:t>
      </w:r>
      <w:r w:rsidR="007461C0" w:rsidRPr="00E747A2">
        <w:rPr>
          <w:color w:val="auto"/>
        </w:rPr>
        <w:t>(only 1.5</w:t>
      </w:r>
      <w:r w:rsidR="00103CC8" w:rsidRPr="00E747A2">
        <w:rPr>
          <w:color w:val="auto"/>
        </w:rPr>
        <w:t xml:space="preserve"> mg)</w:t>
      </w:r>
      <w:r w:rsidR="00F56DB3" w:rsidRPr="00E747A2">
        <w:rPr>
          <w:color w:val="auto"/>
        </w:rPr>
        <w:t>, while</w:t>
      </w:r>
      <w:r w:rsidR="00AA564C" w:rsidRPr="00E747A2">
        <w:rPr>
          <w:color w:val="auto"/>
        </w:rPr>
        <w:t xml:space="preserve"> t</w:t>
      </w:r>
      <w:r w:rsidR="00103CC8" w:rsidRPr="00E747A2">
        <w:rPr>
          <w:color w:val="auto"/>
        </w:rPr>
        <w:t xml:space="preserve">he excrete P content was </w:t>
      </w:r>
      <w:r w:rsidR="007461C0" w:rsidRPr="00E747A2">
        <w:rPr>
          <w:color w:val="auto"/>
        </w:rPr>
        <w:t>0.087</w:t>
      </w:r>
      <w:r w:rsidR="00103CC8" w:rsidRPr="00E747A2">
        <w:rPr>
          <w:color w:val="auto"/>
        </w:rPr>
        <w:t>g</w:t>
      </w:r>
      <w:r w:rsidR="007461C0" w:rsidRPr="00E747A2">
        <w:rPr>
          <w:color w:val="auto"/>
        </w:rPr>
        <w:t>.</w:t>
      </w:r>
      <w:r w:rsidR="007461C0" w:rsidRPr="00E747A2">
        <w:rPr>
          <w:rFonts w:eastAsia="SimSun"/>
          <w:color w:val="auto"/>
          <w:lang w:eastAsia="zh-CN"/>
        </w:rPr>
        <w:t xml:space="preserve"> </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lastRenderedPageBreak/>
        <w:t xml:space="preserve"> </w:t>
      </w:r>
      <w:r w:rsidR="0099365D" w:rsidRPr="00E747A2">
        <w:rPr>
          <w:rFonts w:ascii="Times New Roman" w:hAnsi="Times New Roman" w:cs="Times New Roman"/>
          <w:color w:val="auto"/>
          <w:sz w:val="24"/>
          <w:szCs w:val="24"/>
        </w:rPr>
        <w:t xml:space="preserve">Availability </w:t>
      </w:r>
      <w:r w:rsidRPr="00E747A2">
        <w:rPr>
          <w:rFonts w:ascii="Times New Roman" w:hAnsi="Times New Roman" w:cs="Times New Roman"/>
          <w:color w:val="auto"/>
          <w:sz w:val="24"/>
          <w:szCs w:val="24"/>
        </w:rPr>
        <w:t>of phosphorus in feedstuffs for broilers c</w:t>
      </w:r>
      <w:r w:rsidR="001C1BBC" w:rsidRPr="00E747A2">
        <w:rPr>
          <w:rFonts w:ascii="Times New Roman" w:hAnsi="Times New Roman" w:cs="Times New Roman"/>
          <w:color w:val="auto"/>
          <w:sz w:val="24"/>
          <w:szCs w:val="24"/>
        </w:rPr>
        <w:t>hicken</w:t>
      </w:r>
    </w:p>
    <w:p w:rsidR="007560B3" w:rsidRPr="00E747A2" w:rsidRDefault="004B07A2" w:rsidP="00BE2D61">
      <w:pPr>
        <w:spacing w:line="480" w:lineRule="auto"/>
        <w:rPr>
          <w:b/>
          <w:color w:val="auto"/>
        </w:rPr>
      </w:pPr>
      <w:r w:rsidRPr="00E747A2">
        <w:rPr>
          <w:color w:val="auto"/>
        </w:rPr>
        <w:t xml:space="preserve">All birds </w:t>
      </w:r>
      <w:r w:rsidR="0099365D" w:rsidRPr="00E747A2">
        <w:rPr>
          <w:color w:val="auto"/>
        </w:rPr>
        <w:t xml:space="preserve">remained healthy during the whole experimental period. </w:t>
      </w:r>
      <w:r w:rsidR="007560B3" w:rsidRPr="00E747A2">
        <w:rPr>
          <w:color w:val="auto"/>
        </w:rPr>
        <w:t>The apparent and true</w:t>
      </w:r>
      <w:r w:rsidRPr="00E747A2">
        <w:rPr>
          <w:color w:val="auto"/>
        </w:rPr>
        <w:t xml:space="preserve"> availability of phosphorus varies</w:t>
      </w:r>
      <w:r w:rsidR="007560B3" w:rsidRPr="00E747A2">
        <w:rPr>
          <w:color w:val="auto"/>
        </w:rPr>
        <w:t xml:space="preserve"> significantly depending on the type of ingredient (P&lt;0.</w:t>
      </w:r>
      <w:r w:rsidR="001B7355" w:rsidRPr="00E747A2">
        <w:rPr>
          <w:color w:val="auto"/>
        </w:rPr>
        <w:t>0</w:t>
      </w:r>
      <w:r w:rsidR="007560B3" w:rsidRPr="00E747A2">
        <w:rPr>
          <w:color w:val="auto"/>
        </w:rPr>
        <w:t xml:space="preserve">01). </w:t>
      </w:r>
      <w:r w:rsidR="00D62A85" w:rsidRPr="00E747A2">
        <w:rPr>
          <w:color w:val="auto"/>
        </w:rPr>
        <w:t>C</w:t>
      </w:r>
      <w:r w:rsidR="00695EA6" w:rsidRPr="00E747A2">
        <w:rPr>
          <w:color w:val="auto"/>
        </w:rPr>
        <w:t>anola meal</w:t>
      </w:r>
      <w:r w:rsidR="00227673" w:rsidRPr="00E747A2">
        <w:rPr>
          <w:color w:val="auto"/>
        </w:rPr>
        <w:t>, soybean meal</w:t>
      </w:r>
      <w:r w:rsidRPr="00E747A2">
        <w:rPr>
          <w:color w:val="auto"/>
        </w:rPr>
        <w:t>,</w:t>
      </w:r>
      <w:r w:rsidR="00227673" w:rsidRPr="00E747A2">
        <w:rPr>
          <w:color w:val="auto"/>
        </w:rPr>
        <w:t xml:space="preserve"> and </w:t>
      </w:r>
      <w:r w:rsidR="00A74C06" w:rsidRPr="00E747A2">
        <w:rPr>
          <w:color w:val="auto"/>
        </w:rPr>
        <w:t>corn DDGS</w:t>
      </w:r>
      <w:r w:rsidR="00695EA6" w:rsidRPr="00E747A2">
        <w:rPr>
          <w:color w:val="auto"/>
        </w:rPr>
        <w:t xml:space="preserve"> </w:t>
      </w:r>
      <w:r w:rsidR="00F56DB3" w:rsidRPr="00E747A2">
        <w:rPr>
          <w:color w:val="auto"/>
        </w:rPr>
        <w:t>had</w:t>
      </w:r>
      <w:r w:rsidR="00695EA6" w:rsidRPr="00E747A2">
        <w:rPr>
          <w:color w:val="auto"/>
        </w:rPr>
        <w:t xml:space="preserve"> higher ava</w:t>
      </w:r>
      <w:r w:rsidR="00092A7F" w:rsidRPr="00E747A2">
        <w:rPr>
          <w:color w:val="auto"/>
        </w:rPr>
        <w:t>i</w:t>
      </w:r>
      <w:r w:rsidR="00695EA6" w:rsidRPr="00E747A2">
        <w:rPr>
          <w:color w:val="auto"/>
        </w:rPr>
        <w:t>l</w:t>
      </w:r>
      <w:r w:rsidR="00092A7F" w:rsidRPr="00E747A2">
        <w:rPr>
          <w:color w:val="auto"/>
        </w:rPr>
        <w:t>a</w:t>
      </w:r>
      <w:r w:rsidR="00695EA6" w:rsidRPr="00E747A2">
        <w:rPr>
          <w:color w:val="auto"/>
        </w:rPr>
        <w:t>bility</w:t>
      </w:r>
      <w:r w:rsidR="00AA564C" w:rsidRPr="00E747A2">
        <w:rPr>
          <w:color w:val="auto"/>
        </w:rPr>
        <w:t xml:space="preserve"> of P</w:t>
      </w:r>
      <w:r w:rsidR="00092A7F" w:rsidRPr="00E747A2">
        <w:rPr>
          <w:color w:val="auto"/>
        </w:rPr>
        <w:t xml:space="preserve"> which </w:t>
      </w:r>
      <w:r w:rsidR="00AA564C" w:rsidRPr="00E747A2">
        <w:rPr>
          <w:color w:val="auto"/>
        </w:rPr>
        <w:t>range</w:t>
      </w:r>
      <w:r w:rsidR="00092A7F" w:rsidRPr="00E747A2">
        <w:rPr>
          <w:color w:val="auto"/>
        </w:rPr>
        <w:t xml:space="preserve"> from </w:t>
      </w:r>
      <w:r w:rsidR="00F819F1" w:rsidRPr="00E747A2">
        <w:rPr>
          <w:color w:val="auto"/>
        </w:rPr>
        <w:t>46.91</w:t>
      </w:r>
      <w:r w:rsidR="00D62A85" w:rsidRPr="00E747A2">
        <w:rPr>
          <w:color w:val="auto"/>
        </w:rPr>
        <w:t>% to 50.95</w:t>
      </w:r>
      <w:r w:rsidR="00092A7F" w:rsidRPr="00E747A2">
        <w:rPr>
          <w:color w:val="auto"/>
        </w:rPr>
        <w:t xml:space="preserve">% for apparent availability and </w:t>
      </w:r>
      <w:r w:rsidR="00F819F1" w:rsidRPr="00E747A2">
        <w:rPr>
          <w:color w:val="auto"/>
        </w:rPr>
        <w:t>49.45</w:t>
      </w:r>
      <w:r w:rsidR="00D62A85" w:rsidRPr="00E747A2">
        <w:rPr>
          <w:color w:val="auto"/>
        </w:rPr>
        <w:t>% to 53.22</w:t>
      </w:r>
      <w:r w:rsidR="00092A7F" w:rsidRPr="00E747A2">
        <w:rPr>
          <w:color w:val="auto"/>
        </w:rPr>
        <w:t>% for true availability. The other four ingredient</w:t>
      </w:r>
      <w:r w:rsidR="00D47FE0" w:rsidRPr="00E747A2">
        <w:rPr>
          <w:color w:val="auto"/>
        </w:rPr>
        <w:t xml:space="preserve">s </w:t>
      </w:r>
      <w:r w:rsidR="00D62A85" w:rsidRPr="00E747A2">
        <w:rPr>
          <w:color w:val="auto"/>
        </w:rPr>
        <w:t>had</w:t>
      </w:r>
      <w:r w:rsidR="00AA564C" w:rsidRPr="00E747A2">
        <w:rPr>
          <w:color w:val="auto"/>
        </w:rPr>
        <w:t xml:space="preserve"> lower values</w:t>
      </w:r>
      <w:r w:rsidR="00673D1A" w:rsidRPr="00E747A2">
        <w:rPr>
          <w:color w:val="auto"/>
        </w:rPr>
        <w:t xml:space="preserve"> which is lower than 40% for </w:t>
      </w:r>
      <w:r w:rsidR="00381652" w:rsidRPr="00E747A2">
        <w:rPr>
          <w:color w:val="auto"/>
        </w:rPr>
        <w:t xml:space="preserve">apparent availability and </w:t>
      </w:r>
      <w:r w:rsidR="00F819F1" w:rsidRPr="00E747A2">
        <w:rPr>
          <w:color w:val="auto"/>
        </w:rPr>
        <w:t>36.77</w:t>
      </w:r>
      <w:r w:rsidR="00381652" w:rsidRPr="00E747A2">
        <w:rPr>
          <w:color w:val="auto"/>
        </w:rPr>
        <w:t>% to 42.76% for true availability</w:t>
      </w:r>
      <w:r w:rsidR="00DA79F9" w:rsidRPr="00E747A2">
        <w:rPr>
          <w:color w:val="auto"/>
        </w:rPr>
        <w:t xml:space="preserve"> (Table 4</w:t>
      </w:r>
      <w:r w:rsidR="00393CE0" w:rsidRPr="00E747A2">
        <w:rPr>
          <w:color w:val="auto"/>
        </w:rPr>
        <w:t>)</w:t>
      </w:r>
      <w:r w:rsidR="00381652" w:rsidRPr="00E747A2">
        <w:rPr>
          <w:color w:val="auto"/>
        </w:rPr>
        <w:t>.</w:t>
      </w:r>
    </w:p>
    <w:p w:rsidR="0099365D" w:rsidRPr="00E747A2" w:rsidRDefault="0099365D" w:rsidP="000E696E">
      <w:pPr>
        <w:spacing w:line="480" w:lineRule="auto"/>
        <w:ind w:firstLine="420"/>
        <w:rPr>
          <w:b/>
          <w:color w:val="auto"/>
        </w:rPr>
      </w:pPr>
      <w:r w:rsidRPr="00E747A2">
        <w:rPr>
          <w:color w:val="auto"/>
        </w:rPr>
        <w:t xml:space="preserve">The addition of </w:t>
      </w:r>
      <w:r w:rsidR="003B25DF" w:rsidRPr="00E747A2">
        <w:rPr>
          <w:color w:val="auto"/>
        </w:rPr>
        <w:t xml:space="preserve">1000 FTU/kg microbial </w:t>
      </w:r>
      <w:r w:rsidRPr="00E747A2">
        <w:rPr>
          <w:color w:val="auto"/>
        </w:rPr>
        <w:t>phytase to diets indicated a significant improve</w:t>
      </w:r>
      <w:r w:rsidR="003B25DF" w:rsidRPr="00E747A2">
        <w:rPr>
          <w:color w:val="auto"/>
        </w:rPr>
        <w:t>ment</w:t>
      </w:r>
      <w:r w:rsidRPr="00E747A2">
        <w:rPr>
          <w:color w:val="auto"/>
        </w:rPr>
        <w:t xml:space="preserve"> of P availability </w:t>
      </w:r>
      <w:r w:rsidR="007A2787" w:rsidRPr="00E747A2">
        <w:rPr>
          <w:color w:val="auto"/>
        </w:rPr>
        <w:t>for</w:t>
      </w:r>
      <w:r w:rsidRPr="00E747A2">
        <w:rPr>
          <w:color w:val="auto"/>
        </w:rPr>
        <w:t xml:space="preserve"> all feed ingredients</w:t>
      </w:r>
      <w:r w:rsidR="007A2787" w:rsidRPr="00E747A2">
        <w:rPr>
          <w:color w:val="auto"/>
        </w:rPr>
        <w:t xml:space="preserve"> (P&lt;0.01)</w:t>
      </w:r>
      <w:r w:rsidRPr="00E747A2">
        <w:rPr>
          <w:color w:val="auto"/>
        </w:rPr>
        <w:t xml:space="preserve">. </w:t>
      </w:r>
      <w:r w:rsidR="00E42BE7" w:rsidRPr="00E747A2">
        <w:rPr>
          <w:color w:val="auto"/>
        </w:rPr>
        <w:t xml:space="preserve">Phytase showed the most </w:t>
      </w:r>
      <w:r w:rsidR="00AA564C" w:rsidRPr="00E747A2">
        <w:rPr>
          <w:color w:val="auto"/>
        </w:rPr>
        <w:t>noticeable</w:t>
      </w:r>
      <w:r w:rsidR="00E42BE7" w:rsidRPr="00E747A2">
        <w:rPr>
          <w:color w:val="auto"/>
        </w:rPr>
        <w:t xml:space="preserve"> </w:t>
      </w:r>
      <w:r w:rsidR="00E51D47" w:rsidRPr="00E747A2">
        <w:rPr>
          <w:color w:val="auto"/>
        </w:rPr>
        <w:t xml:space="preserve">relative </w:t>
      </w:r>
      <w:r w:rsidR="00E42BE7" w:rsidRPr="00E747A2">
        <w:rPr>
          <w:color w:val="auto"/>
        </w:rPr>
        <w:t xml:space="preserve">improvement </w:t>
      </w:r>
      <w:r w:rsidR="00E51D47" w:rsidRPr="00E747A2">
        <w:rPr>
          <w:color w:val="auto"/>
        </w:rPr>
        <w:t xml:space="preserve">of apparent availability </w:t>
      </w:r>
      <w:r w:rsidR="00E42BE7" w:rsidRPr="00E747A2">
        <w:rPr>
          <w:color w:val="auto"/>
        </w:rPr>
        <w:t>in wheat grain, wheat middling</w:t>
      </w:r>
      <w:r w:rsidR="009F6AD6" w:rsidRPr="00E747A2">
        <w:rPr>
          <w:color w:val="auto"/>
        </w:rPr>
        <w:t xml:space="preserve">, </w:t>
      </w:r>
      <w:r w:rsidR="00B127A8" w:rsidRPr="00E747A2">
        <w:rPr>
          <w:color w:val="auto"/>
        </w:rPr>
        <w:t xml:space="preserve">wheat bran </w:t>
      </w:r>
      <w:r w:rsidR="009F6AD6" w:rsidRPr="00E747A2">
        <w:rPr>
          <w:color w:val="auto"/>
        </w:rPr>
        <w:t>and</w:t>
      </w:r>
      <w:r w:rsidR="00B127A8" w:rsidRPr="00E747A2">
        <w:rPr>
          <w:color w:val="auto"/>
        </w:rPr>
        <w:t xml:space="preserve"> soybean meal</w:t>
      </w:r>
      <w:r w:rsidR="009F6AD6" w:rsidRPr="00E747A2">
        <w:rPr>
          <w:color w:val="auto"/>
        </w:rPr>
        <w:t xml:space="preserve">, with an increase of </w:t>
      </w:r>
      <w:r w:rsidR="00F819F1" w:rsidRPr="00E747A2">
        <w:rPr>
          <w:color w:val="auto"/>
        </w:rPr>
        <w:t>45.08</w:t>
      </w:r>
      <w:r w:rsidR="009F6AD6" w:rsidRPr="00E747A2">
        <w:rPr>
          <w:color w:val="auto"/>
        </w:rPr>
        <w:t xml:space="preserve">%, </w:t>
      </w:r>
      <w:r w:rsidR="00F819F1" w:rsidRPr="00E747A2">
        <w:rPr>
          <w:color w:val="auto"/>
        </w:rPr>
        <w:t>45.00</w:t>
      </w:r>
      <w:r w:rsidR="009F6AD6" w:rsidRPr="00E747A2">
        <w:rPr>
          <w:color w:val="auto"/>
        </w:rPr>
        <w:t xml:space="preserve">%, </w:t>
      </w:r>
      <w:r w:rsidR="00B127A8" w:rsidRPr="00E747A2">
        <w:rPr>
          <w:color w:val="auto"/>
        </w:rPr>
        <w:t xml:space="preserve">38.08% </w:t>
      </w:r>
      <w:r w:rsidR="009F6AD6" w:rsidRPr="00E747A2">
        <w:rPr>
          <w:color w:val="auto"/>
        </w:rPr>
        <w:t xml:space="preserve">and </w:t>
      </w:r>
      <w:r w:rsidR="00B127A8" w:rsidRPr="00E747A2">
        <w:rPr>
          <w:color w:val="auto"/>
        </w:rPr>
        <w:t xml:space="preserve">34.41% </w:t>
      </w:r>
      <w:r w:rsidR="009F6AD6" w:rsidRPr="00E747A2">
        <w:rPr>
          <w:color w:val="auto"/>
        </w:rPr>
        <w:t>respectively. Canola meal</w:t>
      </w:r>
      <w:r w:rsidR="00D62A85" w:rsidRPr="00E747A2">
        <w:rPr>
          <w:color w:val="auto"/>
        </w:rPr>
        <w:t xml:space="preserve"> </w:t>
      </w:r>
      <w:r w:rsidR="00E51D47" w:rsidRPr="00E747A2">
        <w:rPr>
          <w:color w:val="auto"/>
        </w:rPr>
        <w:t>and peanut meal</w:t>
      </w:r>
      <w:r w:rsidR="00D62A85" w:rsidRPr="00E747A2">
        <w:rPr>
          <w:color w:val="auto"/>
        </w:rPr>
        <w:t xml:space="preserve"> was</w:t>
      </w:r>
      <w:r w:rsidR="00E51D47" w:rsidRPr="00E747A2">
        <w:rPr>
          <w:color w:val="auto"/>
        </w:rPr>
        <w:t xml:space="preserve"> </w:t>
      </w:r>
      <w:r w:rsidR="009F6AD6" w:rsidRPr="00E747A2">
        <w:rPr>
          <w:color w:val="auto"/>
        </w:rPr>
        <w:t>followed</w:t>
      </w:r>
      <w:r w:rsidR="00AA564C" w:rsidRPr="00E747A2">
        <w:rPr>
          <w:color w:val="auto"/>
        </w:rPr>
        <w:t xml:space="preserve"> by</w:t>
      </w:r>
      <w:r w:rsidR="009F6AD6" w:rsidRPr="00E747A2">
        <w:rPr>
          <w:color w:val="auto"/>
        </w:rPr>
        <w:t xml:space="preserve"> 24.30%</w:t>
      </w:r>
      <w:r w:rsidR="00D62A85" w:rsidRPr="00E747A2">
        <w:rPr>
          <w:color w:val="auto"/>
        </w:rPr>
        <w:t xml:space="preserve"> </w:t>
      </w:r>
      <w:r w:rsidR="00E51D47" w:rsidRPr="00E747A2">
        <w:rPr>
          <w:color w:val="auto"/>
        </w:rPr>
        <w:t>and 12.19%, respectively.</w:t>
      </w:r>
      <w:r w:rsidR="00AC07E5" w:rsidRPr="00E747A2">
        <w:rPr>
          <w:color w:val="auto"/>
        </w:rPr>
        <w:t xml:space="preserve"> </w:t>
      </w:r>
      <w:r w:rsidR="00E51D47" w:rsidRPr="00E747A2">
        <w:rPr>
          <w:color w:val="auto"/>
        </w:rPr>
        <w:t xml:space="preserve">The least improved </w:t>
      </w:r>
      <w:r w:rsidR="00A74C06" w:rsidRPr="00E747A2">
        <w:rPr>
          <w:color w:val="auto"/>
        </w:rPr>
        <w:t>corn DDGS</w:t>
      </w:r>
      <w:r w:rsidR="00E51D47" w:rsidRPr="00E747A2">
        <w:rPr>
          <w:color w:val="auto"/>
        </w:rPr>
        <w:t xml:space="preserve"> was </w:t>
      </w:r>
      <w:r w:rsidR="00F10D4F" w:rsidRPr="00E747A2">
        <w:rPr>
          <w:color w:val="auto"/>
        </w:rPr>
        <w:t xml:space="preserve">recorded </w:t>
      </w:r>
      <w:r w:rsidR="00AA564C" w:rsidRPr="00E747A2">
        <w:rPr>
          <w:color w:val="auto"/>
        </w:rPr>
        <w:t xml:space="preserve">only </w:t>
      </w:r>
      <w:r w:rsidR="004B07A2" w:rsidRPr="00E747A2">
        <w:rPr>
          <w:color w:val="auto"/>
        </w:rPr>
        <w:t xml:space="preserve">at </w:t>
      </w:r>
      <w:r w:rsidR="00F819F1" w:rsidRPr="00E747A2">
        <w:rPr>
          <w:color w:val="auto"/>
        </w:rPr>
        <w:t>10.51</w:t>
      </w:r>
      <w:r w:rsidR="00E51D47" w:rsidRPr="00E747A2">
        <w:rPr>
          <w:color w:val="auto"/>
        </w:rPr>
        <w:t xml:space="preserve">% </w:t>
      </w:r>
      <w:r w:rsidR="00DA79F9" w:rsidRPr="00E747A2">
        <w:rPr>
          <w:color w:val="auto"/>
        </w:rPr>
        <w:t>(Table 4</w:t>
      </w:r>
      <w:r w:rsidR="00393CE0" w:rsidRPr="00E747A2">
        <w:rPr>
          <w:color w:val="auto"/>
        </w:rPr>
        <w:t>)</w:t>
      </w:r>
      <w:r w:rsidR="00E51D47" w:rsidRPr="00E747A2">
        <w:rPr>
          <w:color w:val="auto"/>
        </w:rPr>
        <w:t xml:space="preserve">. The same is true </w:t>
      </w:r>
      <w:r w:rsidR="00AA564C" w:rsidRPr="00E747A2">
        <w:rPr>
          <w:color w:val="auto"/>
        </w:rPr>
        <w:t>for</w:t>
      </w:r>
      <w:r w:rsidR="00E51D47" w:rsidRPr="00E747A2">
        <w:rPr>
          <w:color w:val="auto"/>
        </w:rPr>
        <w:t xml:space="preserve"> true </w:t>
      </w:r>
      <w:r w:rsidR="00F10D4F" w:rsidRPr="00E747A2">
        <w:rPr>
          <w:color w:val="auto"/>
        </w:rPr>
        <w:t xml:space="preserve">P </w:t>
      </w:r>
      <w:r w:rsidR="00E51D47" w:rsidRPr="00E747A2">
        <w:rPr>
          <w:color w:val="auto"/>
        </w:rPr>
        <w:t xml:space="preserve">availability. </w:t>
      </w:r>
      <w:r w:rsidR="00F56190" w:rsidRPr="00E747A2">
        <w:rPr>
          <w:color w:val="auto"/>
        </w:rPr>
        <w:t>The absolute improvement</w:t>
      </w:r>
      <w:r w:rsidR="00F6313A" w:rsidRPr="00E747A2">
        <w:rPr>
          <w:color w:val="auto"/>
        </w:rPr>
        <w:t xml:space="preserve"> </w:t>
      </w:r>
      <w:r w:rsidR="00F56190" w:rsidRPr="00E747A2">
        <w:rPr>
          <w:color w:val="auto"/>
        </w:rPr>
        <w:t xml:space="preserve">of apparent </w:t>
      </w:r>
      <w:r w:rsidR="00F10D4F" w:rsidRPr="00E747A2">
        <w:rPr>
          <w:color w:val="auto"/>
        </w:rPr>
        <w:t xml:space="preserve">P </w:t>
      </w:r>
      <w:r w:rsidR="00F56190" w:rsidRPr="00E747A2">
        <w:rPr>
          <w:color w:val="auto"/>
        </w:rPr>
        <w:t>availability expressed by percentage points from high to low</w:t>
      </w:r>
      <w:r w:rsidR="006B708E">
        <w:rPr>
          <w:color w:val="auto"/>
        </w:rPr>
        <w:t xml:space="preserve"> value was</w:t>
      </w:r>
      <w:r w:rsidR="00F56190" w:rsidRPr="00E747A2">
        <w:rPr>
          <w:color w:val="auto"/>
        </w:rPr>
        <w:t xml:space="preserve"> soybean meal (17.15), </w:t>
      </w:r>
      <w:r w:rsidR="00F819F1" w:rsidRPr="00E747A2">
        <w:rPr>
          <w:color w:val="auto"/>
        </w:rPr>
        <w:t xml:space="preserve">wheat middling (15.42), </w:t>
      </w:r>
      <w:r w:rsidR="00F56190" w:rsidRPr="00E747A2">
        <w:rPr>
          <w:color w:val="auto"/>
        </w:rPr>
        <w:t>wheat grain (15.</w:t>
      </w:r>
      <w:r w:rsidR="00F819F1" w:rsidRPr="00E747A2">
        <w:rPr>
          <w:color w:val="auto"/>
        </w:rPr>
        <w:t>17</w:t>
      </w:r>
      <w:r w:rsidR="00F56190" w:rsidRPr="00E747A2">
        <w:rPr>
          <w:color w:val="auto"/>
        </w:rPr>
        <w:t xml:space="preserve">), </w:t>
      </w:r>
      <w:r w:rsidR="00F819F1" w:rsidRPr="00E747A2">
        <w:rPr>
          <w:color w:val="auto"/>
        </w:rPr>
        <w:t xml:space="preserve">wheat bran (13.80), </w:t>
      </w:r>
      <w:r w:rsidR="00F56190" w:rsidRPr="00E747A2">
        <w:rPr>
          <w:color w:val="auto"/>
        </w:rPr>
        <w:t xml:space="preserve">canola meal (12.38), </w:t>
      </w:r>
      <w:r w:rsidR="00F819F1" w:rsidRPr="00E747A2">
        <w:rPr>
          <w:color w:val="auto"/>
        </w:rPr>
        <w:t>corn DDGS (4.93)</w:t>
      </w:r>
      <w:r w:rsidR="00066541" w:rsidRPr="00E747A2">
        <w:rPr>
          <w:color w:val="auto"/>
        </w:rPr>
        <w:t xml:space="preserve"> and</w:t>
      </w:r>
      <w:r w:rsidR="0000031D" w:rsidRPr="00E747A2">
        <w:rPr>
          <w:color w:val="auto"/>
        </w:rPr>
        <w:t xml:space="preserve"> </w:t>
      </w:r>
      <w:r w:rsidR="00066541" w:rsidRPr="00E747A2">
        <w:rPr>
          <w:color w:val="auto"/>
        </w:rPr>
        <w:t>peanut meal (4.79)</w:t>
      </w:r>
      <w:r w:rsidR="00393CE0" w:rsidRPr="00E747A2">
        <w:rPr>
          <w:color w:val="auto"/>
        </w:rPr>
        <w:t xml:space="preserve"> (</w:t>
      </w:r>
      <w:r w:rsidR="00934EC4" w:rsidRPr="00E747A2">
        <w:rPr>
          <w:color w:val="auto"/>
        </w:rPr>
        <w:t>T</w:t>
      </w:r>
      <w:r w:rsidR="00DA79F9" w:rsidRPr="00E747A2">
        <w:rPr>
          <w:color w:val="auto"/>
        </w:rPr>
        <w:t>able 4</w:t>
      </w:r>
      <w:r w:rsidR="00393CE0" w:rsidRPr="00E747A2">
        <w:rPr>
          <w:color w:val="auto"/>
        </w:rPr>
        <w:t>)</w:t>
      </w:r>
      <w:r w:rsidR="00066541" w:rsidRPr="00E747A2">
        <w:rPr>
          <w:color w:val="auto"/>
        </w:rPr>
        <w:t xml:space="preserve">. </w:t>
      </w:r>
      <w:r w:rsidR="00531E56" w:rsidRPr="00E747A2">
        <w:rPr>
          <w:color w:val="auto"/>
        </w:rPr>
        <w:t>T</w:t>
      </w:r>
      <w:r w:rsidR="00210A96" w:rsidRPr="00E747A2">
        <w:rPr>
          <w:color w:val="auto"/>
        </w:rPr>
        <w:t>he equivalent relationship between ph</w:t>
      </w:r>
      <w:r w:rsidR="00DA79F9" w:rsidRPr="00E747A2">
        <w:rPr>
          <w:color w:val="auto"/>
        </w:rPr>
        <w:t>ytase and available P</w:t>
      </w:r>
      <w:r w:rsidR="00531E56" w:rsidRPr="00E747A2">
        <w:rPr>
          <w:color w:val="auto"/>
        </w:rPr>
        <w:t xml:space="preserve"> </w:t>
      </w:r>
      <w:r w:rsidR="005606E7" w:rsidRPr="00E747A2">
        <w:rPr>
          <w:color w:val="auto"/>
        </w:rPr>
        <w:t>is</w:t>
      </w:r>
      <w:r w:rsidR="00531E56" w:rsidRPr="00E747A2">
        <w:rPr>
          <w:color w:val="auto"/>
        </w:rPr>
        <w:t xml:space="preserve"> </w:t>
      </w:r>
      <w:r w:rsidR="00666A59" w:rsidRPr="00E747A2">
        <w:rPr>
          <w:color w:val="auto"/>
        </w:rPr>
        <w:t>describe</w:t>
      </w:r>
      <w:r w:rsidR="005606E7" w:rsidRPr="00E747A2">
        <w:rPr>
          <w:color w:val="auto"/>
        </w:rPr>
        <w:t>d</w:t>
      </w:r>
      <w:r w:rsidR="00531E56" w:rsidRPr="00E747A2">
        <w:rPr>
          <w:color w:val="auto"/>
        </w:rPr>
        <w:t xml:space="preserve"> in </w:t>
      </w:r>
      <w:r w:rsidR="00DA79F9" w:rsidRPr="00E747A2">
        <w:rPr>
          <w:color w:val="auto"/>
        </w:rPr>
        <w:t>Table 5</w:t>
      </w:r>
      <w:r w:rsidR="00210A96" w:rsidRPr="00E747A2">
        <w:rPr>
          <w:color w:val="auto"/>
        </w:rPr>
        <w:t xml:space="preserve">. It shows the equivalent value of </w:t>
      </w:r>
      <w:r w:rsidR="00CD2200" w:rsidRPr="00E747A2">
        <w:rPr>
          <w:color w:val="auto"/>
        </w:rPr>
        <w:t xml:space="preserve">1000 FTU/kg </w:t>
      </w:r>
      <w:r w:rsidR="00210A96" w:rsidRPr="00E747A2">
        <w:rPr>
          <w:color w:val="auto"/>
        </w:rPr>
        <w:t>phytase</w:t>
      </w:r>
      <w:r w:rsidR="00F6313A" w:rsidRPr="00E747A2">
        <w:rPr>
          <w:color w:val="auto"/>
        </w:rPr>
        <w:t xml:space="preserve"> </w:t>
      </w:r>
      <w:r w:rsidR="00CD2200" w:rsidRPr="00E747A2">
        <w:rPr>
          <w:color w:val="auto"/>
        </w:rPr>
        <w:t xml:space="preserve">varied with </w:t>
      </w:r>
      <w:r w:rsidR="00210A96" w:rsidRPr="00E747A2">
        <w:rPr>
          <w:color w:val="auto"/>
        </w:rPr>
        <w:t>different ingredients</w:t>
      </w:r>
      <w:r w:rsidR="00CD2200" w:rsidRPr="00E747A2">
        <w:rPr>
          <w:color w:val="auto"/>
        </w:rPr>
        <w:t xml:space="preserve"> from 0</w:t>
      </w:r>
      <w:r w:rsidR="00066541" w:rsidRPr="00E747A2">
        <w:rPr>
          <w:color w:val="auto"/>
        </w:rPr>
        <w:t>.13</w:t>
      </w:r>
      <w:r w:rsidR="00227673" w:rsidRPr="00E747A2">
        <w:rPr>
          <w:color w:val="auto"/>
        </w:rPr>
        <w:t xml:space="preserve">% </w:t>
      </w:r>
      <w:r w:rsidR="00494F76">
        <w:rPr>
          <w:color w:val="auto"/>
        </w:rPr>
        <w:t xml:space="preserve">in </w:t>
      </w:r>
      <w:r w:rsidR="00066541" w:rsidRPr="00E747A2">
        <w:rPr>
          <w:color w:val="auto"/>
        </w:rPr>
        <w:t>wheat bran</w:t>
      </w:r>
      <w:r w:rsidR="00227673" w:rsidRPr="00E747A2">
        <w:rPr>
          <w:color w:val="auto"/>
        </w:rPr>
        <w:t xml:space="preserve"> to 0.0</w:t>
      </w:r>
      <w:r w:rsidR="00066541" w:rsidRPr="00E747A2">
        <w:rPr>
          <w:color w:val="auto"/>
        </w:rPr>
        <w:t>4</w:t>
      </w:r>
      <w:r w:rsidR="00494F76">
        <w:rPr>
          <w:color w:val="auto"/>
        </w:rPr>
        <w:t xml:space="preserve">% in </w:t>
      </w:r>
      <w:r w:rsidR="00A74C06" w:rsidRPr="00E747A2">
        <w:rPr>
          <w:color w:val="auto"/>
        </w:rPr>
        <w:t>corn DDGS</w:t>
      </w:r>
      <w:r w:rsidR="00066541" w:rsidRPr="00E747A2">
        <w:rPr>
          <w:color w:val="auto"/>
        </w:rPr>
        <w:t xml:space="preserve"> and peanut meal</w:t>
      </w:r>
      <w:r w:rsidR="00CD2200" w:rsidRPr="00E747A2">
        <w:rPr>
          <w:color w:val="auto"/>
        </w:rPr>
        <w:t>.</w:t>
      </w:r>
    </w:p>
    <w:p w:rsidR="00E92783" w:rsidRPr="00E747A2" w:rsidRDefault="005E0E2B" w:rsidP="00BE2D61">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r w:rsidRPr="00E747A2">
        <w:rPr>
          <w:rFonts w:ascii="Times New Roman" w:hAnsi="Times New Roman" w:cs="Times New Roman"/>
          <w:color w:val="auto"/>
          <w:sz w:val="24"/>
          <w:szCs w:val="24"/>
        </w:rPr>
        <w:lastRenderedPageBreak/>
        <w:t>Discussion</w:t>
      </w:r>
    </w:p>
    <w:p w:rsidR="0099365D"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eastAsia="Palatino Linotype" w:hAnsi="Times New Roman" w:cs="Times New Roman"/>
          <w:color w:val="auto"/>
          <w:sz w:val="24"/>
          <w:szCs w:val="24"/>
          <w:u w:color="000000"/>
        </w:rPr>
      </w:pPr>
      <w:r w:rsidRPr="00E747A2">
        <w:rPr>
          <w:rStyle w:val="a"/>
          <w:rFonts w:ascii="Times New Roman" w:eastAsia="Palatino Linotype" w:hAnsi="Times New Roman" w:cs="Times New Roman"/>
          <w:color w:val="auto"/>
          <w:sz w:val="24"/>
          <w:szCs w:val="24"/>
          <w:u w:color="000000"/>
        </w:rPr>
        <w:t xml:space="preserve"> Composition of i</w:t>
      </w:r>
      <w:r w:rsidR="0099365D" w:rsidRPr="00E747A2">
        <w:rPr>
          <w:rStyle w:val="a"/>
          <w:rFonts w:ascii="Times New Roman" w:eastAsia="Palatino Linotype" w:hAnsi="Times New Roman" w:cs="Times New Roman"/>
          <w:color w:val="auto"/>
          <w:sz w:val="24"/>
          <w:szCs w:val="24"/>
          <w:u w:color="000000"/>
        </w:rPr>
        <w:t>ngredients</w:t>
      </w:r>
    </w:p>
    <w:p w:rsidR="00EB2047" w:rsidRPr="00E747A2" w:rsidRDefault="0008275A" w:rsidP="00A26AD1">
      <w:pPr>
        <w:spacing w:line="480" w:lineRule="auto"/>
        <w:rPr>
          <w:i/>
          <w:color w:val="auto"/>
        </w:rPr>
      </w:pPr>
      <w:r w:rsidRPr="00E747A2">
        <w:rPr>
          <w:color w:val="auto"/>
        </w:rPr>
        <w:t xml:space="preserve">The content of calcium, phosphorus and relative chemical components of </w:t>
      </w:r>
      <w:r w:rsidR="0057027B" w:rsidRPr="00E747A2">
        <w:rPr>
          <w:color w:val="auto"/>
        </w:rPr>
        <w:t>most</w:t>
      </w:r>
      <w:r w:rsidRPr="00E747A2">
        <w:rPr>
          <w:color w:val="auto"/>
        </w:rPr>
        <w:t xml:space="preserve"> ingredients measured in this study were mostly consistent with or close to those reported in the literature</w:t>
      </w:r>
      <w:r w:rsidR="00815829" w:rsidRPr="00E747A2">
        <w:rPr>
          <w:color w:val="auto"/>
        </w:rPr>
        <w:t xml:space="preserve"> </w:t>
      </w:r>
      <w:r w:rsidR="00382493" w:rsidRPr="00E747A2">
        <w:rPr>
          <w:i/>
          <w:color w:val="auto"/>
        </w:rPr>
        <w:fldChar w:fldCharType="begin" w:fldLock="1"/>
      </w:r>
      <w:r w:rsidR="000877D7">
        <w:rPr>
          <w:color w:val="auto"/>
        </w:rPr>
        <w:instrText>ADDIN CSL_CITATION {"citationItems":[{"id":"ITEM-1","itemData":{"ISBN":"0377-8401","ISSN":"03778401","abstract":"A total of 285 samples representing 51 feedstuffs used in Belgian feed-mills were quantitatively analysed for phytase activity, phytate-P and total P. It was concluded that the number of feedstuffs showing significant phytase activity (more than 100 units kg-1) is rather limited (n = 13). Of the cereals analysed, only rye (5130 units kg-1), triticale (1688 units kg-1), wheat (1193 units kg-1) and barley (582 units kg-1) were rich in phytase. Wheat by-products, such as fine bran meal (4601 units kg-1) or pellets (2573 units kg-1)], middlings (4381 units kg-1), feed flour (3350 units kg-1) and bran (2957 units kg-1) were very phytase rich. Pelleted wheat fine bran samples were, on average, only 56% as active as non-pelleted wheat fine bran. Malt sprouts pellets (877 units kg-1) as well as corn distillers (385 units kg-1) also showed a moderate phytase activity. All other feedstuffs analysed showed zero or extremely low phytase activity. Phytase activity was not related to total P content or phytate-P content. A significant linear relationship was found between phytate-P and total P, for two feedstuff classes-wheat plus wheat by-products (R2 = 0.953; RSD = 0.060) and maize plus maize by-products (R2 = 0.928; RSD = 0.042)-but not for cereals or oil meals. Phytate-P content, as a percentage of total P content, was higher in cereals and in wheat by-products than in oil-seed meals and legume seeds. In malt sprouts, corn distillers and moist ensiled maize, phytate-P seems to be totally or partly hydrolysed as a result of processing or ensiling. In feedstuffs derived from roots and tubers, as well as in citrus pulp, cocoa shells, soyabean hulls, flax chaff, maize cob meal, dehydrated alfalfa and a dried mycelium sample, phytate-P was not detectable. © 1994.","author":[{"dropping-particle":"","family":"Eeckhout","given":"W.","non-dropping-particle":"","parse-names":false,"suffix":""},{"dropping-particle":"","family":"Paepe","given":"M.","non-dropping-particle":"De","parse-names":false,"suffix":""}],"container-title":"Animal Feed Science and Technology","id":"ITEM-1","issue":"1-2","issued":{"date-parts":[["1994"]]},"page":"19-29","title":"Total phosphorus, phytate-phosphorus and phytase activity in plant feedstuffs","type":"article-journal","volume":"47"},"uris":["http://www.mendeley.com/documents/?uuid=45b8124f-b8a8-46f8-b1f1-88b4ccc4c67d"]},{"id":"ITEM-2","itemData":{"DOI":"https://doi.org/10.17226/2114","abstract":"Description This classic reference for poultry nutrition has been updated for the first time since 1984. The chapter on general considerations concerning individual nutrients and water has been greatly expanded and includes, for the first time, equations for predicting the energy value of individual feed ingredients from their proximate composition. This volume includes the latest information on the nutrient requirements of meat- and egg-type chickens, incorporating data on brown-egg strains, turkeys, geese, ducks, pheasants, Japanese quail, and Bobwhite quail. This publication also contains new appendix tables that document in detail the scientific information used to derive the nutrient requirements appearing in the summary tables for each species of bird. OVERVIEW COMPONENTS OF POULTRY DIETS Energy Carbohydrates Protein and Amino Acids Fats Minerals Vitamins Water Xanthophylls Unidentified Growth Factors Antimicrobials NUTRIENT REQUIREMENTS OF CHICKENS Leghorn-Type Chickens Meat-Type Chickens NUTRIENT REQUIREMENTS OF TURKEYS Starting and Growing Turkeys Turkey Breeders NUTRIENT REQUIREMENTS OF GEESE NUTRIENT REQUIREMENTS OF DUCKS NUTRIENT REQUIREMENTS OF RING-NECKED PHEASANTS JAPANESE QUAIL, AND BOBWHITE QUAIL Ring-Necked Pheasants Japanese Quail Bobwhite Quail SIGNS OF NUTRITIONAL DEFICIENCIES IN CHICKENS AND TURKEYS Protein and Amino Acid Deficiencies Vitamin Deficiencies Mineral Deficiencies COMPOSITION OF FEEDSTUFFS USED IN POULTRY DIETS Cereal Grains Protein Supplements Estimating the Amino Acid Composition of Feedstuffs Characteristics of Dietary Fats Macromineral Supplements Mycotoxins STANDARD REFERENCE DIETS FOR CHICKS APPENDIXES A Documentation of Nutrient Requirements B Estimating the Energy Value of Feed Ingredients C Conversion Factors REFERENCES AUTHORS INDEX","author":[{"dropping-particle":"","family":"NRC","given":"","non-dropping-particle":"","parse-names":false,"suffix":""}],"id":"ITEM-2","issued":{"date-parts":[["1994"]]},"publisher":"Ninth Revised Edition, National Academy Press, Washington, D.C.USA","title":"Nutrient requirements of poultry","type":"book"},"uris":["http://www.mendeley.com/documents/?uuid=b878e815-52a5-428d-b33b-5bf303630143"]},{"id":"ITEM-3","itemData":{"ISSN":"03778401","abstract":"Three experiments were conducted to determine the effects of microbial phytase on the coefficient of standardized total tract digestibility (CSTTD) of phosphorus (P) in corn and wheat and various co-products of these grains and in oilseed meals fed to growing pigs. In Exp. 1, 90 barrows (initial body weight: 39.27 ± 2.22. kg) were individually housed and allotted to 1 of 14 cornstarch-based diets based on corn or distillers dried grains with solubles (DDGS; low, medium, or high oil), corn gluten feed, corn gluten meal or corn germ meal with 0 or 500 units per kilogram of microbial phytase (n = 6). A P-free diet was used to determine basal endogenous P loss (EPL). The results showed that the CSTTD of P was greater (P&lt; 0.05) in DDGS than in corn, corn gluten meal, corn gluten feed or corn germ meal. In Exp. 2, 66 barrows (initial body weight: 38.26 ± 2.19. kg) were used to determine the CSTTD of P in wheat, wheat bran, wheat shorts, wheat feed flour and wheat red dog (n = 6). Ten diets contained each of the test ingredients with 0 or 500 units per kilogram of microbial phytase and a P-free diet was also formulated. The results showed that there was no difference in the CSTTD of P among wheat and wheat co-products. The addition of phytase increased (P&lt; 0.01) the CSTTD of P in all ingredients. In Exp. 3, 66 barrows (initial body weight: 35.02. ± 2.03. kg) were allotted to a randomized complete block design with 11 diets and 6 pigs per diet. Ten diets were based on cornstarch and soybean meal, canola meal, cottonseed meal, partially dehulled sunflower meal or peanut meal with either 0 or 500 units of microbial phytase, and a P-free diet was also used. The results showed that the CSTTD of P was less (P = 0.03) in peanut meal than in soybean meal, canola meal, cottonseed meal and partially dehulled sunflower meal, but the addition of phytase increased (P = 0.03) the CSTTD of P in all oilseed meals. In conclusion, the results of these experiments indicate that differences exist in the CSTTD of P among feed ingredient, and the susceptibility of phytate from corn to phytase attack may be less than that from wheat and oilseed meals.","author":[{"dropping-particle":"","family":"She","given":"Y.","non-dropping-particle":"","parse-names":false,"suffix":""},{"dropping-particle":"","family":"Su","given":"Y.","non-dropping-particle":"","parse-names":false,"suffix":""},{"dropping-particle":"","family":"Liu","given":"L.","non-dropping-particle":"","parse-names":false,"suffix":""},{"dropping-particle":"","family":"Huang","given":"C.","non-dropping-particle":"","parse-names":false,"suffix":""},{"dropping-particle":"","family":"Li","given":"J.","non-dropping-particle":"","parse-names":false,"suffix":""},{"dropping-particle":"","family":"Li","given":"P.","non-dropping-particle":"","parse-names":false,"suffix":""},{"dropping-particle":"","family":"Li","given":"D.","non-dropping-particle":"","parse-names":false,"suffix":""},{"dropping-particle":"","family":"Piao","given":"X.","non-dropping-particle":"","parse-names":false,"suffix":""}],"container-title":"Animal Feed Science and Technology","id":"ITEM-3","issued":{"date-parts":[["2015"]]},"page":"132-144","publisher":"Elsevier B.V.","title":"Effects of microbial phytase on coefficient of standardized total tract digestibility of phosphorus in growing pigs fed corn and corn co-products, wheat and wheat co-products and oilseed meals","type":"article-journal","volume":"208"},"uris":["http://www.mendeley.com/documents/?uuid=276d649a-3ee6-4266-83ae-2788c25e78ab"]}],"mendeley":{"formattedCitation":"(Eeckhout and De Paepe 1994; NRC 1994; She et al. 2015)","manualFormatting":"(Eeckhout and De Paepe 1994; NRC, 1994; She et al., 2015)","plainTextFormattedCitation":"(Eeckhout and De Paepe 1994; NRC 1994; She et al. 2015)","previouslyFormattedCitation":"(Eeckhout and De Paepe, 1994; NRC, 1994; She et al., 2015)"},"properties":{"noteIndex":0},"schema":"https://github.com/citation-style-language/schema/raw/master/csl-citation.json"}</w:instrText>
      </w:r>
      <w:r w:rsidR="00382493" w:rsidRPr="00E747A2">
        <w:rPr>
          <w:i/>
          <w:color w:val="auto"/>
        </w:rPr>
        <w:fldChar w:fldCharType="separate"/>
      </w:r>
      <w:r w:rsidR="0036522F" w:rsidRPr="00E747A2">
        <w:rPr>
          <w:noProof/>
          <w:color w:val="auto"/>
        </w:rPr>
        <w:t>(Eeckhout and De Paepe 1994; NRC</w:t>
      </w:r>
      <w:r w:rsidR="00AF3B8B" w:rsidRPr="00E747A2">
        <w:rPr>
          <w:noProof/>
          <w:color w:val="auto"/>
        </w:rPr>
        <w:t>,</w:t>
      </w:r>
      <w:r w:rsidR="0036522F" w:rsidRPr="00E747A2">
        <w:rPr>
          <w:noProof/>
          <w:color w:val="auto"/>
        </w:rPr>
        <w:t xml:space="preserve"> 1994; She et al.</w:t>
      </w:r>
      <w:r w:rsidR="00AF3B8B" w:rsidRPr="00E747A2">
        <w:rPr>
          <w:noProof/>
          <w:color w:val="auto"/>
        </w:rPr>
        <w:t>,</w:t>
      </w:r>
      <w:r w:rsidR="0036522F" w:rsidRPr="00E747A2">
        <w:rPr>
          <w:noProof/>
          <w:color w:val="auto"/>
        </w:rPr>
        <w:t xml:space="preserve"> 2015)</w:t>
      </w:r>
      <w:r w:rsidR="00382493" w:rsidRPr="00E747A2">
        <w:rPr>
          <w:i/>
          <w:color w:val="auto"/>
        </w:rPr>
        <w:fldChar w:fldCharType="end"/>
      </w:r>
      <w:r w:rsidRPr="00E747A2">
        <w:rPr>
          <w:color w:val="auto"/>
        </w:rPr>
        <w:t xml:space="preserve">. </w:t>
      </w:r>
      <w:r w:rsidR="00682627" w:rsidRPr="00E747A2">
        <w:rPr>
          <w:color w:val="auto"/>
        </w:rPr>
        <w:t xml:space="preserve">The non-phytate P content in SBM, CNM, PM, WG, and WB </w:t>
      </w:r>
      <w:r w:rsidR="005606E7" w:rsidRPr="00E747A2">
        <w:rPr>
          <w:color w:val="auto"/>
        </w:rPr>
        <w:t>was</w:t>
      </w:r>
      <w:r w:rsidR="00682627" w:rsidRPr="00E747A2">
        <w:rPr>
          <w:color w:val="auto"/>
        </w:rPr>
        <w:t xml:space="preserve"> comparable to the reported value of </w:t>
      </w:r>
      <w:r w:rsidR="00382493" w:rsidRPr="00E747A2">
        <w:rPr>
          <w:i/>
          <w:color w:val="auto"/>
        </w:rPr>
        <w:fldChar w:fldCharType="begin" w:fldLock="1"/>
      </w:r>
      <w:r w:rsidR="000877D7">
        <w:rPr>
          <w:color w:val="auto"/>
        </w:rPr>
        <w:instrText>ADDIN CSL_CITATION {"citationItems":[{"id":"ITEM-1","itemData":{"DOI":"https://doi.org/10.17226/2114","abstract":"Description This classic reference for poultry nutrition has been updated for the first time since 1984. The chapter on general considerations concerning individual nutrients and water has been greatly expanded and includes, for the first time, equations for predicting the energy value of individual feed ingredients from their proximate composition. This volume includes the latest information on the nutrient requirements of meat- and egg-type chickens, incorporating data on brown-egg strains, turkeys, geese, ducks, pheasants, Japanese quail, and Bobwhite quail. This publication also contains new appendix tables that document in detail the scientific information used to derive the nutrient requirements appearing in the summary tables for each species of bird. OVERVIEW COMPONENTS OF POULTRY DIETS Energy Carbohydrates Protein and Amino Acids Fats Minerals Vitamins Water Xanthophylls Unidentified Growth Factors Antimicrobials NUTRIENT REQUIREMENTS OF CHICKENS Leghorn-Type Chickens Meat-Type Chickens NUTRIENT REQUIREMENTS OF TURKEYS Starting and Growing Turkeys Turkey Breeders NUTRIENT REQUIREMENTS OF GEESE NUTRIENT REQUIREMENTS OF DUCKS NUTRIENT REQUIREMENTS OF RING-NECKED PHEASANTS JAPANESE QUAIL, AND BOBWHITE QUAIL Ring-Necked Pheasants Japanese Quail Bobwhite Quail SIGNS OF NUTRITIONAL DEFICIENCIES IN CHICKENS AND TURKEYS Protein and Amino Acid Deficiencies Vitamin Deficiencies Mineral Deficiencies COMPOSITION OF FEEDSTUFFS USED IN POULTRY DIETS Cereal Grains Protein Supplements Estimating the Amino Acid Composition of Feedstuffs Characteristics of Dietary Fats Macromineral Supplements Mycotoxins STANDARD REFERENCE DIETS FOR CHICKS APPENDIXES A Documentation of Nutrient Requirements B Estimating the Energy Value of Feed Ingredients C Conversion Factors REFERENCES AUTHORS INDEX","author":[{"dropping-particle":"","family":"NRC","given":"","non-dropping-particle":"","parse-names":false,"suffix":""}],"id":"ITEM-1","issued":{"date-parts":[["1994"]]},"publisher":"Ninth Revised Edition, National Academy Press, Washington, D.C.USA","title":"Nutrient requirements of poultry","type":"book"},"uris":["http://www.mendeley.com/documents/?uuid=b878e815-52a5-428d-b33b-5bf303630143"]}],"mendeley":{"formattedCitation":"(NRC 1994)","manualFormatting":"NRC (1994)","plainTextFormattedCitation":"(NRC 1994)","previouslyFormattedCitation":"(NRC, 1994)"},"properties":{"noteIndex":0},"schema":"https://github.com/citation-style-language/schema/raw/master/csl-citation.json"}</w:instrText>
      </w:r>
      <w:r w:rsidR="00382493" w:rsidRPr="00E747A2">
        <w:rPr>
          <w:i/>
          <w:color w:val="auto"/>
        </w:rPr>
        <w:fldChar w:fldCharType="separate"/>
      </w:r>
      <w:r w:rsidR="00215350" w:rsidRPr="00E747A2">
        <w:rPr>
          <w:noProof/>
          <w:color w:val="auto"/>
        </w:rPr>
        <w:t>NRC</w:t>
      </w:r>
      <w:r w:rsidR="00AB3728" w:rsidRPr="00E747A2">
        <w:rPr>
          <w:noProof/>
          <w:color w:val="auto"/>
        </w:rPr>
        <w:t xml:space="preserve"> </w:t>
      </w:r>
      <w:r w:rsidR="00215350" w:rsidRPr="00E747A2">
        <w:rPr>
          <w:noProof/>
          <w:color w:val="auto"/>
        </w:rPr>
        <w:t>(</w:t>
      </w:r>
      <w:r w:rsidR="00AB3728" w:rsidRPr="00E747A2">
        <w:rPr>
          <w:noProof/>
          <w:color w:val="auto"/>
        </w:rPr>
        <w:t>1994)</w:t>
      </w:r>
      <w:r w:rsidR="00382493" w:rsidRPr="00E747A2">
        <w:rPr>
          <w:i/>
          <w:color w:val="auto"/>
        </w:rPr>
        <w:fldChar w:fldCharType="end"/>
      </w:r>
      <w:r w:rsidR="00682627" w:rsidRPr="00E747A2">
        <w:rPr>
          <w:color w:val="auto"/>
        </w:rPr>
        <w:t xml:space="preserve">, while, WM and corn DDGS had </w:t>
      </w:r>
      <w:r w:rsidR="005606E7" w:rsidRPr="00E747A2">
        <w:rPr>
          <w:color w:val="auto"/>
        </w:rPr>
        <w:t xml:space="preserve">a </w:t>
      </w:r>
      <w:r w:rsidR="00682627" w:rsidRPr="00E747A2">
        <w:rPr>
          <w:color w:val="auto"/>
        </w:rPr>
        <w:t xml:space="preserve">higher value. </w:t>
      </w:r>
      <w:r w:rsidR="00EB2047" w:rsidRPr="00E747A2">
        <w:rPr>
          <w:color w:val="auto"/>
        </w:rPr>
        <w:t>There was no detected phytase activity in soybean meal,</w:t>
      </w:r>
      <w:r w:rsidR="00EC0DCF" w:rsidRPr="00E747A2">
        <w:rPr>
          <w:color w:val="auto"/>
        </w:rPr>
        <w:t xml:space="preserve"> </w:t>
      </w:r>
      <w:r w:rsidR="00EB2047" w:rsidRPr="00E747A2">
        <w:rPr>
          <w:color w:val="auto"/>
        </w:rPr>
        <w:t>canola meal, peanut meal</w:t>
      </w:r>
      <w:r w:rsidR="00EC0DCF" w:rsidRPr="00E747A2">
        <w:rPr>
          <w:color w:val="auto"/>
        </w:rPr>
        <w:t xml:space="preserve"> </w:t>
      </w:r>
      <w:r w:rsidR="00EB2047" w:rsidRPr="00E747A2">
        <w:rPr>
          <w:color w:val="auto"/>
        </w:rPr>
        <w:t xml:space="preserve">and </w:t>
      </w:r>
      <w:r w:rsidR="00A74C06" w:rsidRPr="00E747A2">
        <w:rPr>
          <w:color w:val="auto"/>
        </w:rPr>
        <w:t>corn</w:t>
      </w:r>
      <w:r w:rsidR="005606E7" w:rsidRPr="00E747A2">
        <w:rPr>
          <w:color w:val="auto"/>
        </w:rPr>
        <w:t xml:space="preserve"> DDGS. This result is in agreement with the previous studies</w:t>
      </w:r>
      <w:r w:rsidR="00EB2047" w:rsidRPr="00E747A2">
        <w:rPr>
          <w:color w:val="auto"/>
        </w:rPr>
        <w:t xml:space="preserve"> </w:t>
      </w:r>
      <w:r w:rsidR="00382493" w:rsidRPr="00E747A2">
        <w:rPr>
          <w:i/>
          <w:color w:val="auto"/>
        </w:rPr>
        <w:fldChar w:fldCharType="begin" w:fldLock="1"/>
      </w:r>
      <w:r w:rsidR="000877D7">
        <w:rPr>
          <w:color w:val="auto"/>
        </w:rPr>
        <w:instrText>ADDIN CSL_CITATION {"citationItems":[{"id":"ITEM-1","itemData":{"ISBN":"0377-8401","ISSN":"03778401","abstract":"A total of 285 samples representing 51 feedstuffs used in Belgian feed-mills were quantitatively analysed for phytase activity, phytate-P and total P. It was concluded that the number of feedstuffs showing significant phytase activity (more than 100 units kg-1) is rather limited (n = 13). Of the cereals analysed, only rye (5130 units kg-1), triticale (1688 units kg-1), wheat (1193 units kg-1) and barley (582 units kg-1) were rich in phytase. Wheat by-products, such as fine bran meal (4601 units kg-1) or pellets (2573 units kg-1)], middlings (4381 units kg-1), feed flour (3350 units kg-1) and bran (2957 units kg-1) were very phytase rich. Pelleted wheat fine bran samples were, on average, only 56% as active as non-pelleted wheat fine bran. Malt sprouts pellets (877 units kg-1) as well as corn distillers (385 units kg-1) also showed a moderate phytase activity. All other feedstuffs analysed showed zero or extremely low phytase activity. Phytase activity was not related to total P content or phytate-P content. A significant linear relationship was found between phytate-P and total P, for two feedstuff classes-wheat plus wheat by-products (R2 = 0.953; RSD = 0.060) and maize plus maize by-products (R2 = 0.928; RSD = 0.042)-but not for cereals or oil meals. Phytate-P content, as a percentage of total P content, was higher in cereals and in wheat by-products than in oil-seed meals and legume seeds. In malt sprouts, corn distillers and moist ensiled maize, phytate-P seems to be totally or partly hydrolysed as a result of processing or ensiling. In feedstuffs derived from roots and tubers, as well as in citrus pulp, cocoa shells, soyabean hulls, flax chaff, maize cob meal, dehydrated alfalfa and a dried mycelium sample, phytate-P was not detectable. © 1994.","author":[{"dropping-particle":"","family":"Eeckhout","given":"W.","non-dropping-particle":"","parse-names":false,"suffix":""},{"dropping-particle":"","family":"Paepe","given":"M.","non-dropping-particle":"De","parse-names":false,"suffix":""}],"container-title":"Animal Feed Science and Technology","id":"ITEM-1","issue":"1-2","issued":{"date-parts":[["1994"]]},"page":"19-29","title":"Total phosphorus, phytate-phosphorus and phytase activity in plant feedstuffs","type":"article-journal","volume":"47"},"uris":["http://www.mendeley.com/documents/?uuid=45b8124f-b8a8-46f8-b1f1-88b4ccc4c67d"]}],"mendeley":{"formattedCitation":"(Eeckhout and De Paepe 1994)","plainTextFormattedCitation":"(Eeckhout and De Paepe 1994)","previouslyFormattedCitation":"(Eeckhout and De Paepe, 1994)"},"properties":{"noteIndex":0},"schema":"https://github.com/citation-style-language/schema/raw/master/csl-citation.json"}</w:instrText>
      </w:r>
      <w:r w:rsidR="00382493" w:rsidRPr="00E747A2">
        <w:rPr>
          <w:i/>
          <w:color w:val="auto"/>
        </w:rPr>
        <w:fldChar w:fldCharType="separate"/>
      </w:r>
      <w:r w:rsidR="000877D7" w:rsidRPr="000877D7">
        <w:rPr>
          <w:noProof/>
          <w:color w:val="auto"/>
        </w:rPr>
        <w:t>(Eeckhout and De Paepe 1994)</w:t>
      </w:r>
      <w:r w:rsidR="00382493" w:rsidRPr="00E747A2">
        <w:rPr>
          <w:i/>
          <w:color w:val="auto"/>
        </w:rPr>
        <w:fldChar w:fldCharType="end"/>
      </w:r>
      <w:r w:rsidR="00EB2047" w:rsidRPr="00E747A2">
        <w:rPr>
          <w:color w:val="auto"/>
        </w:rPr>
        <w:t xml:space="preserve"> which</w:t>
      </w:r>
      <w:r w:rsidR="005606E7" w:rsidRPr="00E747A2">
        <w:rPr>
          <w:color w:val="auto"/>
        </w:rPr>
        <w:t xml:space="preserve"> reported a</w:t>
      </w:r>
      <w:r w:rsidR="00EB2047" w:rsidRPr="00E747A2">
        <w:rPr>
          <w:color w:val="auto"/>
        </w:rPr>
        <w:t xml:space="preserve"> ranged </w:t>
      </w:r>
      <w:r w:rsidR="005606E7" w:rsidRPr="00E747A2">
        <w:rPr>
          <w:color w:val="auto"/>
        </w:rPr>
        <w:t xml:space="preserve">value of </w:t>
      </w:r>
      <w:r w:rsidR="00EB2047" w:rsidRPr="00E747A2">
        <w:rPr>
          <w:color w:val="auto"/>
        </w:rPr>
        <w:t>phytase activity from 0 to 120 (SBM), 0 to 3</w:t>
      </w:r>
      <w:r w:rsidR="005606E7" w:rsidRPr="00E747A2">
        <w:rPr>
          <w:color w:val="auto"/>
        </w:rPr>
        <w:t>6 (CNM), and 0 to 8 FTU/kg (PM) whilst, t</w:t>
      </w:r>
      <w:r w:rsidR="00EB2047" w:rsidRPr="00E747A2">
        <w:rPr>
          <w:color w:val="auto"/>
        </w:rPr>
        <w:t xml:space="preserve">here </w:t>
      </w:r>
      <w:r w:rsidR="00EC0DCF" w:rsidRPr="00E747A2">
        <w:rPr>
          <w:color w:val="auto"/>
        </w:rPr>
        <w:t>are no reports</w:t>
      </w:r>
      <w:r w:rsidR="00EB2047" w:rsidRPr="00E747A2">
        <w:rPr>
          <w:color w:val="auto"/>
        </w:rPr>
        <w:t xml:space="preserve"> about DDGS. In general,</w:t>
      </w:r>
      <w:r w:rsidR="00EC0DCF" w:rsidRPr="00E747A2">
        <w:rPr>
          <w:color w:val="auto"/>
        </w:rPr>
        <w:t xml:space="preserve"> </w:t>
      </w:r>
      <w:r w:rsidR="004B07A2" w:rsidRPr="00E747A2">
        <w:rPr>
          <w:color w:val="auto"/>
        </w:rPr>
        <w:t xml:space="preserve">the </w:t>
      </w:r>
      <w:r w:rsidR="00EB2047" w:rsidRPr="00E747A2">
        <w:rPr>
          <w:color w:val="auto"/>
        </w:rPr>
        <w:t xml:space="preserve">absence of phytase activity in these feed ingredients </w:t>
      </w:r>
      <w:r w:rsidR="005606E7" w:rsidRPr="00E747A2">
        <w:rPr>
          <w:color w:val="auto"/>
        </w:rPr>
        <w:t>could be</w:t>
      </w:r>
      <w:r w:rsidR="00EB2047" w:rsidRPr="00E747A2">
        <w:rPr>
          <w:color w:val="auto"/>
        </w:rPr>
        <w:t xml:space="preserve"> related to the inactivating effect of overheating and some chemical reagents during their process flow.</w:t>
      </w:r>
    </w:p>
    <w:p w:rsidR="00EB2047" w:rsidRPr="00E747A2" w:rsidRDefault="00CB14E2" w:rsidP="00A26AD1">
      <w:pPr>
        <w:spacing w:line="480" w:lineRule="auto"/>
        <w:ind w:firstLine="420"/>
        <w:rPr>
          <w:i/>
          <w:color w:val="auto"/>
        </w:rPr>
      </w:pPr>
      <w:r w:rsidRPr="00E747A2">
        <w:rPr>
          <w:color w:val="auto"/>
        </w:rPr>
        <w:t>Th</w:t>
      </w:r>
      <w:r w:rsidR="0002701B" w:rsidRPr="00E747A2">
        <w:rPr>
          <w:color w:val="auto"/>
        </w:rPr>
        <w:t>e th</w:t>
      </w:r>
      <w:r w:rsidRPr="00E747A2">
        <w:rPr>
          <w:color w:val="auto"/>
        </w:rPr>
        <w:t xml:space="preserve">ree </w:t>
      </w:r>
      <w:r w:rsidR="00830342" w:rsidRPr="00E747A2">
        <w:rPr>
          <w:color w:val="auto"/>
        </w:rPr>
        <w:t>kinds of wheat</w:t>
      </w:r>
      <w:r w:rsidR="004B07A2" w:rsidRPr="00E747A2">
        <w:rPr>
          <w:color w:val="auto"/>
        </w:rPr>
        <w:t>-</w:t>
      </w:r>
      <w:r w:rsidR="008E15CF" w:rsidRPr="00E747A2">
        <w:rPr>
          <w:color w:val="auto"/>
        </w:rPr>
        <w:t>based ingredients</w:t>
      </w:r>
      <w:r w:rsidR="00830342" w:rsidRPr="00E747A2">
        <w:rPr>
          <w:color w:val="auto"/>
        </w:rPr>
        <w:t xml:space="preserve"> </w:t>
      </w:r>
      <w:r w:rsidRPr="00E747A2">
        <w:rPr>
          <w:color w:val="auto"/>
        </w:rPr>
        <w:t>show</w:t>
      </w:r>
      <w:r w:rsidR="005606E7" w:rsidRPr="00E747A2">
        <w:rPr>
          <w:color w:val="auto"/>
        </w:rPr>
        <w:t>ed</w:t>
      </w:r>
      <w:r w:rsidR="00830342" w:rsidRPr="00E747A2">
        <w:rPr>
          <w:color w:val="auto"/>
        </w:rPr>
        <w:t xml:space="preserve"> high phytase activity.</w:t>
      </w:r>
      <w:r w:rsidRPr="00E747A2">
        <w:rPr>
          <w:color w:val="auto"/>
        </w:rPr>
        <w:t xml:space="preserve"> </w:t>
      </w:r>
      <w:r w:rsidR="005606E7" w:rsidRPr="00E747A2">
        <w:rPr>
          <w:color w:val="auto"/>
        </w:rPr>
        <w:t>T</w:t>
      </w:r>
      <w:r w:rsidR="00830342" w:rsidRPr="00E747A2">
        <w:rPr>
          <w:color w:val="auto"/>
        </w:rPr>
        <w:t xml:space="preserve">he phytase activity of wheat </w:t>
      </w:r>
      <w:r w:rsidRPr="00E747A2">
        <w:rPr>
          <w:color w:val="auto"/>
        </w:rPr>
        <w:t xml:space="preserve">origin ingredients </w:t>
      </w:r>
      <w:r w:rsidR="005606E7" w:rsidRPr="00E747A2">
        <w:rPr>
          <w:color w:val="auto"/>
        </w:rPr>
        <w:t>is in agreement with previous</w:t>
      </w:r>
      <w:r w:rsidRPr="00E747A2">
        <w:rPr>
          <w:color w:val="auto"/>
        </w:rPr>
        <w:t xml:space="preserve"> </w:t>
      </w:r>
      <w:r w:rsidR="005606E7" w:rsidRPr="00E747A2">
        <w:rPr>
          <w:color w:val="auto"/>
        </w:rPr>
        <w:t>studies</w:t>
      </w:r>
      <w:r w:rsidRPr="00E747A2">
        <w:rPr>
          <w:color w:val="auto"/>
        </w:rPr>
        <w:t xml:space="preserve"> </w:t>
      </w:r>
      <w:r w:rsidR="00382493" w:rsidRPr="00E747A2">
        <w:rPr>
          <w:i/>
          <w:color w:val="auto"/>
        </w:rPr>
        <w:fldChar w:fldCharType="begin" w:fldLock="1"/>
      </w:r>
      <w:r w:rsidR="000877D7">
        <w:rPr>
          <w:color w:val="auto"/>
        </w:rPr>
        <w:instrText>ADDIN CSL_CITATION {"citationItems":[{"id":"ITEM-1","itemData":{"DOI":"10.1071/EA02155","ISSN":"08161089","abstract":"A total of 160 samples of 20 Australian-sourced feed ingredients of plant origin for pigs and poultry was analysed for total phosphorus and phytate-phosphorus contents and endogenous phytase activity. The majority of total P was present as phytate-phosphorus, and these concentrations were significantly correlated in 9 feed ingredients. The endogenous phytase activity in tested feed ingredients was negligible other than for wheat, its by-products and barley. Phytate-phosphorus was determined by a standard 'ferric chloride precipitation' method, which was satisfactory for individual feed ingredients, with the exception of lupins and faba beans. It appears that phytate is more difficult to extract from these two feedstuffs, possibly because of the affinity of phytate for protein. Ferric chloride precipitation methods are not suitable for phytate-phosphorus determinations of complete feed samples containing other sources of phosphorus, which is a distinct limitation. A lesser limitation is that these methods cannot distinguish between the various esters of myo-inositol phosphate present. Given the variation of phytate contents within ingredients, particularly wheat, the desirability of determining dietary substrate levels is emphasised to take full advantage of including exogenous phytases in pig and poultry diets to reduce phosphorus excretion and abate phosphorus pollution.","author":[{"dropping-particle":"","family":"Selle","given":"P. H.","non-dropping-particle":"","parse-names":false,"suffix":""},{"dropping-particle":"","family":"Walker","given":"A. R.","non-dropping-particle":"","parse-names":false,"suffix":""},{"dropping-particle":"","family":"Bryden","given":"W. L.","non-dropping-particle":"","parse-names":false,"suffix":""}],"container-title":"Australian Journal of Experimental Agriculture","id":"ITEM-1","issue":"5","issued":{"date-parts":[["2003"]]},"page":"475-479","title":"Total and phytate-phosphorus contents and phytase activity of Australian-sourced feed ingredients for pigs and poultry","type":"article-journal","volume":"43"},"uris":["http://www.mendeley.com/documents/?uuid=db0c5af5-8ee8-4d96-aac5-69d74e824497"]}],"mendeley":{"formattedCitation":"(Selle, Walker, and Bryden 2003)","manualFormatting":"(Selle et al., 2003)","plainTextFormattedCitation":"(Selle, Walker, and Bryden 2003)","previouslyFormattedCitation":"(Selle et al., 2003)"},"properties":{"noteIndex":0},"schema":"https://github.com/citation-style-language/schema/raw/master/csl-citation.json"}</w:instrText>
      </w:r>
      <w:r w:rsidR="00382493" w:rsidRPr="00E747A2">
        <w:rPr>
          <w:i/>
          <w:color w:val="auto"/>
        </w:rPr>
        <w:fldChar w:fldCharType="separate"/>
      </w:r>
      <w:r w:rsidR="00215D34" w:rsidRPr="00E747A2">
        <w:rPr>
          <w:noProof/>
          <w:color w:val="auto"/>
        </w:rPr>
        <w:t>(Selle</w:t>
      </w:r>
      <w:r w:rsidR="00461CE2" w:rsidRPr="00E747A2">
        <w:rPr>
          <w:noProof/>
          <w:color w:val="auto"/>
        </w:rPr>
        <w:t xml:space="preserve"> et al.</w:t>
      </w:r>
      <w:r w:rsidR="00AB3728" w:rsidRPr="00E747A2">
        <w:rPr>
          <w:noProof/>
          <w:color w:val="auto"/>
        </w:rPr>
        <w:t>, 2003)</w:t>
      </w:r>
      <w:r w:rsidR="00382493" w:rsidRPr="00E747A2">
        <w:rPr>
          <w:i/>
          <w:color w:val="auto"/>
        </w:rPr>
        <w:fldChar w:fldCharType="end"/>
      </w:r>
      <w:r w:rsidR="00141A20" w:rsidRPr="00E747A2">
        <w:rPr>
          <w:color w:val="auto"/>
        </w:rPr>
        <w:t xml:space="preserve"> and </w:t>
      </w:r>
      <w:r w:rsidRPr="00E747A2">
        <w:rPr>
          <w:color w:val="auto"/>
        </w:rPr>
        <w:t>wheat bran</w:t>
      </w:r>
      <w:r w:rsidR="00F70805" w:rsidRPr="00E747A2">
        <w:rPr>
          <w:color w:val="auto"/>
        </w:rPr>
        <w:t xml:space="preserve"> </w:t>
      </w:r>
      <w:r w:rsidR="00382493" w:rsidRPr="00E747A2">
        <w:rPr>
          <w:i/>
          <w:color w:val="auto"/>
        </w:rPr>
        <w:fldChar w:fldCharType="begin" w:fldLock="1"/>
      </w:r>
      <w:r w:rsidR="000877D7">
        <w:rPr>
          <w:color w:val="auto"/>
        </w:rPr>
        <w:instrText>ADDIN CSL_CITATION {"citationItems":[{"id":"ITEM-1","itemData":{"ISBN":"0377-8401","ISSN":"03778401","abstract":"A total of 285 samples representing 51 feedstuffs used in Belgian feed-mills were quantitatively analysed for phytase activity, phytate-P and total P. It was concluded that the number of feedstuffs showing significant phytase activity (more than 100 units kg-1) is rather limited (n = 13). Of the cereals analysed, only rye (5130 units kg-1), triticale (1688 units kg-1), wheat (1193 units kg-1) and barley (582 units kg-1) were rich in phytase. Wheat by-products, such as fine bran meal (4601 units kg-1) or pellets (2573 units kg-1)], middlings (4381 units kg-1), feed flour (3350 units kg-1) and bran (2957 units kg-1) were very phytase rich. Pelleted wheat fine bran samples were, on average, only 56% as active as non-pelleted wheat fine bran. Malt sprouts pellets (877 units kg-1) as well as corn distillers (385 units kg-1) also showed a moderate phytase activity. All other feedstuffs analysed showed zero or extremely low phytase activity. Phytase activity was not related to total P content or phytate-P content. A significant linear relationship was found between phytate-P and total P, for two feedstuff classes-wheat plus wheat by-products (R2 = 0.953; RSD = 0.060) and maize plus maize by-products (R2 = 0.928; RSD = 0.042)-but not for cereals or oil meals. Phytate-P content, as a percentage of total P content, was higher in cereals and in wheat by-products than in oil-seed meals and legume seeds. In malt sprouts, corn distillers and moist ensiled maize, phytate-P seems to be totally or partly hydrolysed as a result of processing or ensiling. In feedstuffs derived from roots and tubers, as well as in citrus pulp, cocoa shells, soyabean hulls, flax chaff, maize cob meal, dehydrated alfalfa and a dried mycelium sample, phytate-P was not detectable. © 1994.","author":[{"dropping-particle":"","family":"Eeckhout","given":"W.","non-dropping-particle":"","parse-names":false,"suffix":""},{"dropping-particle":"","family":"Paepe","given":"M.","non-dropping-particle":"De","parse-names":false,"suffix":""}],"container-title":"Animal Feed Science and Technology","id":"ITEM-1","issue":"1-2","issued":{"date-parts":[["1994"]]},"page":"19-29","title":"Total phosphorus, phytate-phosphorus and phytase activity in plant feedstuffs","type":"article-journal","volume":"47"},"uris":["http://www.mendeley.com/documents/?uuid=45b8124f-b8a8-46f8-b1f1-88b4ccc4c67d"]}],"mendeley":{"formattedCitation":"(Eeckhout and De Paepe 1994)","plainTextFormattedCitation":"(Eeckhout and De Paepe 1994)","previouslyFormattedCitation":"(Eeckhout and De Paepe, 1994)"},"properties":{"noteIndex":0},"schema":"https://github.com/citation-style-language/schema/raw/master/csl-citation.json"}</w:instrText>
      </w:r>
      <w:r w:rsidR="00382493" w:rsidRPr="00E747A2">
        <w:rPr>
          <w:i/>
          <w:color w:val="auto"/>
        </w:rPr>
        <w:fldChar w:fldCharType="separate"/>
      </w:r>
      <w:r w:rsidR="000877D7" w:rsidRPr="000877D7">
        <w:rPr>
          <w:noProof/>
          <w:color w:val="auto"/>
        </w:rPr>
        <w:t>(Eeckhout and De Paepe 1994)</w:t>
      </w:r>
      <w:r w:rsidR="00382493" w:rsidRPr="00E747A2">
        <w:rPr>
          <w:i/>
          <w:color w:val="auto"/>
        </w:rPr>
        <w:fldChar w:fldCharType="end"/>
      </w:r>
      <w:r w:rsidRPr="00E747A2">
        <w:rPr>
          <w:color w:val="auto"/>
        </w:rPr>
        <w:t>.</w:t>
      </w:r>
      <w:r w:rsidR="0055142E" w:rsidRPr="00E747A2">
        <w:rPr>
          <w:color w:val="auto"/>
        </w:rPr>
        <w:t xml:space="preserve"> </w:t>
      </w:r>
      <w:r w:rsidR="005606E7" w:rsidRPr="00E747A2">
        <w:rPr>
          <w:color w:val="auto"/>
        </w:rPr>
        <w:t>In contrast</w:t>
      </w:r>
      <w:r w:rsidR="004560B0" w:rsidRPr="00E747A2">
        <w:rPr>
          <w:color w:val="auto"/>
        </w:rPr>
        <w:t xml:space="preserve">, some </w:t>
      </w:r>
      <w:r w:rsidR="005606E7" w:rsidRPr="00E747A2">
        <w:rPr>
          <w:color w:val="auto"/>
        </w:rPr>
        <w:t>studies</w:t>
      </w:r>
      <w:r w:rsidR="004560B0" w:rsidRPr="00E747A2">
        <w:rPr>
          <w:color w:val="auto"/>
        </w:rPr>
        <w:t xml:space="preserve"> </w:t>
      </w:r>
      <w:r w:rsidR="00382493" w:rsidRPr="00E747A2">
        <w:rPr>
          <w:i/>
          <w:color w:val="auto"/>
        </w:rPr>
        <w:fldChar w:fldCharType="begin" w:fldLock="1"/>
      </w:r>
      <w:r w:rsidR="000877D7">
        <w:rPr>
          <w:color w:val="auto"/>
        </w:rPr>
        <w:instrText>ADDIN CSL_CITATION {"citationItems":[{"id":"ITEM-1","itemData":{"DOI":"10.1021/jf991126m","ISSN":"00218561","PMID":"10995305","abstract":"A total of 183 samples representing 24 feedstuffs were analyzed for total phosphorus, phytate phosphorus content, phytase (Phy), and acid phosphatase (AcPh) activities with the objective to predict the capacity to hydrolyze phytic acid and to contribute to formulating environmentally adequate diets for monogastric animals. Of the cereals and cereal byproducts analyzed, only rye (5147 U kg-1; 21 955 U g-1), wheat (1637 U kg-1; 10 252 U g-1), rye bran (7339 U kg-1; 56 722 U g-1), and wheat bran (4624 U kg-1; 14 106 U g-1) were rich in Phy and AcPh activities. Legume seeds and oilseeds contained negligible Phy activity and a moderate amount of AcPh activity, except for kidney bean (33 433 U g-1) and full-fat linseed meal (13 263 U g-1). On the other hand, a significant linear regression between phytate phosphorus (y) and total phosphorus (x) was observed in cereal byproducts (R2 = 0.95; y = 0.8458x - 0.0367; P &lt; 0.001) and oil seeds (R2 = 0.95; y = 0.945x - 0.20; P &lt; 0.001). Phy and AcPh were positively correlated with respect to phytate phosphorus in cereals, cereal byproducts, and other byproducts and negatively correlated in legume seeds and oilseeds. Except for cereals, the highest correlation between enzyme activities and phytate phosphorus was found for phytase. It is not possible to predict Phy and AcPh activities from phytate phosphorus content by linear and quadratic regressions. Finally, only highly significant and positive correlation was found between Phy and AcPh activities for cereals, cereal byproducts, and oilseeds.","author":[{"dropping-particle":"","family":"Viveros","given":"A.","non-dropping-particle":"","parse-names":false,"suffix":""},{"dropping-particle":"","family":"Centeno","given":"C.","non-dropping-particle":"","parse-names":false,"suffix":""},{"dropping-particle":"","family":"Brenes","given":"A.","non-dropping-particle":"","parse-names":false,"suffix":""},{"dropping-particle":"","family":"Canales","given":"R.","non-dropping-particle":"","parse-names":false,"suffix":""},{"dropping-particle":"","family":"Lozano","given":"A.","non-dropping-particle":"","parse-names":false,"suffix":""}],"container-title":"Journal of Agricultural and Food Chemistry","id":"ITEM-1","issue":"9","issued":{"date-parts":[["2000"]]},"page":"4009-4013","title":"Phytase and acid phosphatase activities in plant feedstuffs","type":"article-journal","volume":"48"},"uris":["http://www.mendeley.com/documents/?uuid=f5b384af-2b90-47c4-9bf1-f904e2798cb0"]},{"id":"ITEM-2","itemData":{"ISBN":"0377-8401","ISSN":"03778401","abstract":"A total of 285 samples representing 51 feedstuffs used in Belgian feed-mills were quantitatively analysed for phytase activity, phytate-P and total P. It was concluded that the number of feedstuffs showing significant phytase activity (more than 100 units kg-1) is rather limited (n = 13). Of the cereals analysed, only rye (5130 units kg-1), triticale (1688 units kg-1), wheat (1193 units kg-1) and barley (582 units kg-1) were rich in phytase. Wheat by-products, such as fine bran meal (4601 units kg-1) or pellets (2573 units kg-1)], middlings (4381 units kg-1), feed flour (3350 units kg-1) and bran (2957 units kg-1) were very phytase rich. Pelleted wheat fine bran samples were, on average, only 56% as active as non-pelleted wheat fine bran. Malt sprouts pellets (877 units kg-1) as well as corn distillers (385 units kg-1) also showed a moderate phytase activity. All other feedstuffs analysed showed zero or extremely low phytase activity. Phytase activity was not related to total P content or phytate-P content. A significant linear relationship was found between phytate-P and total P, for two feedstuff classes-wheat plus wheat by-products (R2 = 0.953; RSD = 0.060) and maize plus maize by-products (R2 = 0.928; RSD = 0.042)-but not for cereals or oil meals. Phytate-P content, as a percentage of total P content, was higher in cereals and in wheat by-products than in oil-seed meals and legume seeds. In malt sprouts, corn distillers and moist ensiled maize, phytate-P seems to be totally or partly hydrolysed as a result of processing or ensiling. In feedstuffs derived from roots and tubers, as well as in citrus pulp, cocoa shells, soyabean hulls, flax chaff, maize cob meal, dehydrated alfalfa and a dried mycelium sample, phytate-P was not detectable. © 1994.","author":[{"dropping-particle":"","family":"Eeckhout","given":"W.","non-dropping-particle":"","parse-names":false,"suffix":""},{"dropping-particle":"","family":"Paepe","given":"M.","non-dropping-particle":"De","parse-names":false,"suffix":""}],"container-title":"Animal Feed Science and Technology","id":"ITEM-2","issue":"1-2","issued":{"date-parts":[["1994"]]},"page":"19-29","title":"Total phosphorus, phytate-phosphorus and phytase activity in plant feedstuffs","type":"article-journal","volume":"47"},"uris":["http://www.mendeley.com/documents/?uuid=45b8124f-b8a8-46f8-b1f1-88b4ccc4c67d"]}],"mendeley":{"formattedCitation":"(Eeckhout and De Paepe 1994; Viveros et al. 2000)","manualFormatting":"(Eeckhout and De Paepe, 1994; Viveros et al., 2000)","plainTextFormattedCitation":"(Eeckhout and De Paepe 1994; Viveros et al. 2000)","previouslyFormattedCitation":"(Eeckhout and De Paepe, 1994; Viveros et al., 2000)"},"properties":{"noteIndex":0},"schema":"https://github.com/citation-style-language/schema/raw/master/csl-citation.json"}</w:instrText>
      </w:r>
      <w:r w:rsidR="00382493" w:rsidRPr="00E747A2">
        <w:rPr>
          <w:i/>
          <w:color w:val="auto"/>
        </w:rPr>
        <w:fldChar w:fldCharType="separate"/>
      </w:r>
      <w:r w:rsidR="005606E7" w:rsidRPr="00E747A2">
        <w:rPr>
          <w:noProof/>
          <w:color w:val="auto"/>
        </w:rPr>
        <w:t>(Eeckhout and De Paepe, 1994; Viveros et al., 2000)</w:t>
      </w:r>
      <w:r w:rsidR="00382493" w:rsidRPr="00E747A2">
        <w:rPr>
          <w:i/>
          <w:color w:val="auto"/>
        </w:rPr>
        <w:fldChar w:fldCharType="end"/>
      </w:r>
      <w:r w:rsidR="005606E7" w:rsidRPr="00E747A2">
        <w:rPr>
          <w:color w:val="auto"/>
        </w:rPr>
        <w:t xml:space="preserve"> </w:t>
      </w:r>
      <w:r w:rsidR="004560B0" w:rsidRPr="00E747A2">
        <w:rPr>
          <w:color w:val="auto"/>
        </w:rPr>
        <w:t xml:space="preserve">showed </w:t>
      </w:r>
      <w:r w:rsidR="004B07A2" w:rsidRPr="00E747A2">
        <w:rPr>
          <w:color w:val="auto"/>
        </w:rPr>
        <w:t xml:space="preserve">a </w:t>
      </w:r>
      <w:r w:rsidR="004560B0" w:rsidRPr="00E747A2">
        <w:rPr>
          <w:color w:val="auto"/>
        </w:rPr>
        <w:t xml:space="preserve">higher value </w:t>
      </w:r>
      <w:r w:rsidR="005606E7" w:rsidRPr="00E747A2">
        <w:rPr>
          <w:color w:val="auto"/>
        </w:rPr>
        <w:t>of</w:t>
      </w:r>
      <w:r w:rsidR="004560B0" w:rsidRPr="00E747A2">
        <w:rPr>
          <w:color w:val="auto"/>
        </w:rPr>
        <w:t xml:space="preserve"> wheat grain</w:t>
      </w:r>
      <w:r w:rsidR="00F70805" w:rsidRPr="00E747A2">
        <w:rPr>
          <w:color w:val="auto"/>
        </w:rPr>
        <w:t xml:space="preserve"> </w:t>
      </w:r>
      <w:r w:rsidR="004560B0" w:rsidRPr="00E747A2">
        <w:rPr>
          <w:color w:val="auto"/>
        </w:rPr>
        <w:t xml:space="preserve">and wheat </w:t>
      </w:r>
      <w:r w:rsidR="008B128F" w:rsidRPr="00E747A2">
        <w:rPr>
          <w:color w:val="auto"/>
        </w:rPr>
        <w:t>middling</w:t>
      </w:r>
      <w:r w:rsidR="004560B0" w:rsidRPr="00E747A2">
        <w:rPr>
          <w:color w:val="auto"/>
        </w:rPr>
        <w:t>.</w:t>
      </w:r>
      <w:r w:rsidR="005D77C0" w:rsidRPr="00E747A2">
        <w:rPr>
          <w:color w:val="auto"/>
        </w:rPr>
        <w:t xml:space="preserve"> </w:t>
      </w:r>
      <w:r w:rsidR="00EB2047" w:rsidRPr="00E747A2">
        <w:rPr>
          <w:color w:val="auto"/>
        </w:rPr>
        <w:t xml:space="preserve">The reason for the inconsistency may be related to the different processing temperatures of different </w:t>
      </w:r>
      <w:r w:rsidR="00602B7F" w:rsidRPr="00E747A2">
        <w:rPr>
          <w:color w:val="auto"/>
        </w:rPr>
        <w:t>feedstuff</w:t>
      </w:r>
      <w:r w:rsidR="00FD26DB" w:rsidRPr="00E747A2">
        <w:rPr>
          <w:color w:val="auto"/>
        </w:rPr>
        <w:t>s</w:t>
      </w:r>
      <w:r w:rsidR="00EB2047" w:rsidRPr="00E747A2">
        <w:rPr>
          <w:color w:val="auto"/>
        </w:rPr>
        <w:t>.</w:t>
      </w:r>
      <w:r w:rsidR="000E269A" w:rsidRPr="00E747A2">
        <w:rPr>
          <w:color w:val="auto"/>
        </w:rPr>
        <w:t xml:space="preserve"> </w:t>
      </w:r>
      <w:r w:rsidR="00602B7F" w:rsidRPr="00E747A2">
        <w:rPr>
          <w:color w:val="auto"/>
        </w:rPr>
        <w:t>Some feed ingredients</w:t>
      </w:r>
      <w:r w:rsidR="00EB2047" w:rsidRPr="00E747A2">
        <w:rPr>
          <w:color w:val="auto"/>
        </w:rPr>
        <w:t xml:space="preserve"> were detoxified at low</w:t>
      </w:r>
      <w:r w:rsidR="00D00A43" w:rsidRPr="00E747A2">
        <w:rPr>
          <w:color w:val="auto"/>
        </w:rPr>
        <w:t>er</w:t>
      </w:r>
      <w:r w:rsidR="00EB2047" w:rsidRPr="00E747A2">
        <w:rPr>
          <w:color w:val="auto"/>
        </w:rPr>
        <w:t xml:space="preserve"> temperature</w:t>
      </w:r>
      <w:r w:rsidR="000E269A" w:rsidRPr="00E747A2">
        <w:rPr>
          <w:color w:val="auto"/>
        </w:rPr>
        <w:t xml:space="preserve"> </w:t>
      </w:r>
      <w:r w:rsidR="00EB2047" w:rsidRPr="00E747A2">
        <w:rPr>
          <w:color w:val="auto"/>
        </w:rPr>
        <w:t>(about 80</w:t>
      </w:r>
      <w:r w:rsidR="00EB2047" w:rsidRPr="00E747A2">
        <w:rPr>
          <w:rFonts w:eastAsia="SimSun"/>
          <w:color w:val="auto"/>
        </w:rPr>
        <w:t>℃</w:t>
      </w:r>
      <w:r w:rsidR="00EB2047" w:rsidRPr="00E747A2">
        <w:rPr>
          <w:color w:val="auto"/>
        </w:rPr>
        <w:t xml:space="preserve">), while the detoxification temperature of </w:t>
      </w:r>
      <w:r w:rsidR="00602B7F" w:rsidRPr="00E747A2">
        <w:rPr>
          <w:color w:val="auto"/>
        </w:rPr>
        <w:t>other</w:t>
      </w:r>
      <w:r w:rsidR="00EB2047" w:rsidRPr="00E747A2">
        <w:rPr>
          <w:color w:val="auto"/>
        </w:rPr>
        <w:t xml:space="preserve"> </w:t>
      </w:r>
      <w:r w:rsidR="00602B7F" w:rsidRPr="00E747A2">
        <w:rPr>
          <w:color w:val="auto"/>
        </w:rPr>
        <w:t>feed ingredients</w:t>
      </w:r>
      <w:r w:rsidR="00EB2047" w:rsidRPr="00E747A2">
        <w:rPr>
          <w:color w:val="auto"/>
        </w:rPr>
        <w:t xml:space="preserve"> </w:t>
      </w:r>
      <w:r w:rsidR="00FD26DB" w:rsidRPr="00E747A2">
        <w:rPr>
          <w:color w:val="auto"/>
        </w:rPr>
        <w:t>was</w:t>
      </w:r>
      <w:r w:rsidR="00EB2047" w:rsidRPr="00E747A2">
        <w:rPr>
          <w:color w:val="auto"/>
        </w:rPr>
        <w:t xml:space="preserve"> up to 130</w:t>
      </w:r>
      <w:r w:rsidR="00EB2047" w:rsidRPr="00E747A2">
        <w:rPr>
          <w:rFonts w:eastAsia="SimSun"/>
          <w:color w:val="auto"/>
        </w:rPr>
        <w:t>℃</w:t>
      </w:r>
      <w:r w:rsidR="00EB2047" w:rsidRPr="00E747A2">
        <w:rPr>
          <w:color w:val="auto"/>
        </w:rPr>
        <w:t>.</w:t>
      </w:r>
      <w:r w:rsidR="000E269A" w:rsidRPr="00E747A2">
        <w:rPr>
          <w:color w:val="auto"/>
        </w:rPr>
        <w:t xml:space="preserve"> </w:t>
      </w:r>
      <w:r w:rsidR="00EB2047" w:rsidRPr="00E747A2">
        <w:rPr>
          <w:color w:val="auto"/>
        </w:rPr>
        <w:t>It was also reported that heating to 70-80 ℃ and the pH value &lt; 2.5 causes partial or total inactivation of endogenous plant phytase</w:t>
      </w:r>
      <w:r w:rsidR="000E269A" w:rsidRPr="00E747A2">
        <w:rPr>
          <w:color w:val="auto"/>
        </w:rPr>
        <w:t xml:space="preserve"> </w:t>
      </w:r>
      <w:r w:rsidR="00382493" w:rsidRPr="00E747A2">
        <w:rPr>
          <w:i/>
          <w:color w:val="auto"/>
        </w:rPr>
        <w:fldChar w:fldCharType="begin" w:fldLock="1"/>
      </w:r>
      <w:r w:rsidR="000877D7">
        <w:rPr>
          <w:color w:val="auto"/>
        </w:rPr>
        <w:instrText>ADDIN CSL_CITATION {"citationItems":[{"id":"ITEM-1","itemData":{"author":[{"dropping-particle":"","family":"Nernberg","given":"L. W. J.","non-dropping-particle":"","parse-names":false,"suffix":""}],"id":"ITEM-1","issued":{"date-parts":[["1998"]]},"number-of-pages":"1-121","publisher":"The University of Manitoba, Canada","title":"Improved phosphorus availability in poultry fed wheat/canola meal-based diets supplemented with phytase enzyme [master's thesis].","type":"thesis"},"uris":["http://www.mendeley.com/documents/?uuid=88cb7e16-1b8d-4cfa-b7fb-4f19558714d3"]}],"mendeley":{"formattedCitation":"(Nernberg 1998)","manualFormatting":"(Nernberg, 1998)","plainTextFormattedCitation":"(Nernberg 1998)","previouslyFormattedCitation":"(Nernberg, 1998)"},"properties":{"noteIndex":0},"schema":"https://github.com/citation-style-language/schema/raw/master/csl-citation.json"}</w:instrText>
      </w:r>
      <w:r w:rsidR="00382493" w:rsidRPr="00E747A2">
        <w:rPr>
          <w:i/>
          <w:color w:val="auto"/>
        </w:rPr>
        <w:fldChar w:fldCharType="separate"/>
      </w:r>
      <w:r w:rsidR="0036522F" w:rsidRPr="00E747A2">
        <w:rPr>
          <w:noProof/>
          <w:color w:val="auto"/>
        </w:rPr>
        <w:t>(Nernberg</w:t>
      </w:r>
      <w:r w:rsidR="004643E2" w:rsidRPr="00E747A2">
        <w:rPr>
          <w:noProof/>
          <w:color w:val="auto"/>
        </w:rPr>
        <w:t>,</w:t>
      </w:r>
      <w:r w:rsidR="0036522F" w:rsidRPr="00E747A2">
        <w:rPr>
          <w:noProof/>
          <w:color w:val="auto"/>
        </w:rPr>
        <w:t xml:space="preserve"> 1998)</w:t>
      </w:r>
      <w:r w:rsidR="00382493" w:rsidRPr="00E747A2">
        <w:rPr>
          <w:i/>
          <w:color w:val="auto"/>
        </w:rPr>
        <w:fldChar w:fldCharType="end"/>
      </w:r>
      <w:r w:rsidR="00EB2047" w:rsidRPr="00E747A2">
        <w:rPr>
          <w:color w:val="auto"/>
        </w:rPr>
        <w:t>.</w:t>
      </w:r>
    </w:p>
    <w:p w:rsidR="00BC2DCA" w:rsidRPr="00E747A2" w:rsidRDefault="00E53C3F"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lastRenderedPageBreak/>
        <w:t xml:space="preserve"> Endogenous loss of p</w:t>
      </w:r>
      <w:r w:rsidR="001C1BBC" w:rsidRPr="00E747A2">
        <w:rPr>
          <w:rFonts w:ascii="Times New Roman" w:hAnsi="Times New Roman" w:cs="Times New Roman"/>
          <w:color w:val="auto"/>
          <w:sz w:val="24"/>
          <w:szCs w:val="24"/>
        </w:rPr>
        <w:t>hosphorus</w:t>
      </w:r>
    </w:p>
    <w:p w:rsidR="00BC2DCA" w:rsidRPr="00E747A2" w:rsidRDefault="002C193D" w:rsidP="00BE2D61">
      <w:pPr>
        <w:spacing w:line="480" w:lineRule="auto"/>
        <w:ind w:firstLine="420"/>
        <w:rPr>
          <w:color w:val="auto"/>
          <w:szCs w:val="24"/>
        </w:rPr>
      </w:pPr>
      <w:r w:rsidRPr="00E747A2">
        <w:rPr>
          <w:color w:val="auto"/>
          <w:szCs w:val="24"/>
        </w:rPr>
        <w:t xml:space="preserve">The </w:t>
      </w:r>
      <w:r w:rsidR="003C2F72" w:rsidRPr="00E747A2">
        <w:rPr>
          <w:color w:val="auto"/>
          <w:szCs w:val="24"/>
        </w:rPr>
        <w:t>endogenous loss of phosphorus (</w:t>
      </w:r>
      <w:r w:rsidRPr="00E747A2">
        <w:rPr>
          <w:color w:val="auto"/>
          <w:szCs w:val="24"/>
        </w:rPr>
        <w:t>EPL</w:t>
      </w:r>
      <w:r w:rsidR="003C2F72" w:rsidRPr="00E747A2">
        <w:rPr>
          <w:color w:val="auto"/>
          <w:szCs w:val="24"/>
        </w:rPr>
        <w:t>)</w:t>
      </w:r>
      <w:r w:rsidRPr="00E747A2">
        <w:rPr>
          <w:color w:val="auto"/>
          <w:szCs w:val="24"/>
        </w:rPr>
        <w:t xml:space="preserve"> (97.45mg/kgDMI) of the </w:t>
      </w:r>
      <w:r w:rsidR="00D00A43" w:rsidRPr="00E747A2">
        <w:rPr>
          <w:color w:val="auto"/>
          <w:szCs w:val="24"/>
        </w:rPr>
        <w:t>this</w:t>
      </w:r>
      <w:r w:rsidRPr="00E747A2">
        <w:rPr>
          <w:color w:val="auto"/>
          <w:szCs w:val="24"/>
        </w:rPr>
        <w:t xml:space="preserve"> study </w:t>
      </w:r>
      <w:r w:rsidR="00D00A43" w:rsidRPr="00E747A2">
        <w:rPr>
          <w:color w:val="auto"/>
          <w:szCs w:val="24"/>
        </w:rPr>
        <w:t>is</w:t>
      </w:r>
      <w:r w:rsidRPr="00E747A2">
        <w:rPr>
          <w:color w:val="auto"/>
          <w:szCs w:val="24"/>
        </w:rPr>
        <w:t xml:space="preserve"> lower than 235 mg/kg DMI </w:t>
      </w:r>
      <w:r w:rsidR="00D00A43" w:rsidRPr="00E747A2">
        <w:rPr>
          <w:color w:val="auto"/>
          <w:szCs w:val="24"/>
        </w:rPr>
        <w:t>compare to the finding</w:t>
      </w:r>
      <w:r w:rsidRPr="00E747A2">
        <w:rPr>
          <w:color w:val="auto"/>
          <w:szCs w:val="24"/>
        </w:rPr>
        <w:t xml:space="preserve"> </w:t>
      </w:r>
      <w:r w:rsidR="00D00A43" w:rsidRPr="00E747A2">
        <w:rPr>
          <w:color w:val="auto"/>
          <w:szCs w:val="24"/>
        </w:rPr>
        <w:t>of</w:t>
      </w:r>
      <w:r w:rsidRPr="00E747A2">
        <w:rPr>
          <w:color w:val="auto"/>
          <w:szCs w:val="24"/>
        </w:rPr>
        <w:t xml:space="preserve"> </w:t>
      </w:r>
      <w:r w:rsidR="00382493" w:rsidRPr="00E747A2">
        <w:rPr>
          <w:color w:val="auto"/>
          <w:szCs w:val="24"/>
        </w:rPr>
        <w:fldChar w:fldCharType="begin" w:fldLock="1"/>
      </w:r>
      <w:r w:rsidR="000877D7">
        <w:rPr>
          <w:color w:val="auto"/>
          <w:szCs w:val="24"/>
        </w:rPr>
        <w:instrText>ADDIN CSL_CITATION {"citationItems":[{"id":"ITEM-1","itemData":{"author":[{"dropping-particle":"","family":"Dilger","given":"R N","non-dropping-particle":"","parse-names":false,"suffix":""},{"dropping-particle":"","family":"Adeola","given":"O","non-dropping-particle":"","parse-names":false,"suffix":""}],"container-title":"Poultry Science","id":"ITEM-1","issue":"November","issued":{"date-parts":[["2006"]]},"page":"661-668","title":"Estimation of true phosphorus digestibility and endogenous phosphorus loss in growing chicks fed conventional and low-phytate soybean meals","type":"article-journal","volume":"85"},"uris":["http://www.mendeley.com/documents/?uuid=2cfbe1a6-a07d-42ae-8842-d9f19aec0f5b"]}],"mendeley":{"formattedCitation":"(R N Dilger and Adeola 2006)","manualFormatting":"Dilger and Adeola (2006a)","plainTextFormattedCitation":"(R N Dilger and Adeola 2006)","previouslyFormattedCitation":"(R N Dilger and Adeola, 2006)"},"properties":{"noteIndex":0},"schema":"https://github.com/citation-style-language/schema/raw/master/csl-citation.json"}</w:instrText>
      </w:r>
      <w:r w:rsidR="00382493" w:rsidRPr="00E747A2">
        <w:rPr>
          <w:color w:val="auto"/>
          <w:szCs w:val="24"/>
        </w:rPr>
        <w:fldChar w:fldCharType="separate"/>
      </w:r>
      <w:r w:rsidR="00BB27AA" w:rsidRPr="00E747A2">
        <w:rPr>
          <w:noProof/>
          <w:color w:val="auto"/>
          <w:szCs w:val="24"/>
        </w:rPr>
        <w:t>Dilger and</w:t>
      </w:r>
      <w:r w:rsidR="00E071A9" w:rsidRPr="00E747A2">
        <w:rPr>
          <w:noProof/>
          <w:color w:val="auto"/>
          <w:szCs w:val="24"/>
        </w:rPr>
        <w:t xml:space="preserve"> Adeola</w:t>
      </w:r>
      <w:r w:rsidR="00AB3728" w:rsidRPr="00E747A2">
        <w:rPr>
          <w:noProof/>
          <w:color w:val="auto"/>
          <w:szCs w:val="24"/>
        </w:rPr>
        <w:t xml:space="preserve"> </w:t>
      </w:r>
      <w:r w:rsidR="00E071A9" w:rsidRPr="00E747A2">
        <w:rPr>
          <w:noProof/>
          <w:color w:val="auto"/>
          <w:szCs w:val="24"/>
        </w:rPr>
        <w:t>(</w:t>
      </w:r>
      <w:r w:rsidR="00AB3728" w:rsidRPr="00E747A2">
        <w:rPr>
          <w:noProof/>
          <w:color w:val="auto"/>
          <w:szCs w:val="24"/>
        </w:rPr>
        <w:t>2006a)</w:t>
      </w:r>
      <w:r w:rsidR="00382493" w:rsidRPr="00E747A2">
        <w:rPr>
          <w:color w:val="auto"/>
          <w:szCs w:val="24"/>
        </w:rPr>
        <w:fldChar w:fldCharType="end"/>
      </w:r>
      <w:r w:rsidR="003B5D01" w:rsidRPr="00E747A2">
        <w:rPr>
          <w:color w:val="auto"/>
          <w:szCs w:val="24"/>
        </w:rPr>
        <w:t xml:space="preserve"> </w:t>
      </w:r>
      <w:r w:rsidR="00D00A43" w:rsidRPr="00E747A2">
        <w:rPr>
          <w:color w:val="auto"/>
          <w:szCs w:val="24"/>
        </w:rPr>
        <w:t>who applied the</w:t>
      </w:r>
      <w:r w:rsidR="00494F76">
        <w:rPr>
          <w:color w:val="auto"/>
          <w:szCs w:val="24"/>
        </w:rPr>
        <w:t xml:space="preserve"> regression method to determine</w:t>
      </w:r>
      <w:r w:rsidR="00D00A43" w:rsidRPr="00E747A2">
        <w:rPr>
          <w:color w:val="auto"/>
          <w:szCs w:val="24"/>
        </w:rPr>
        <w:t xml:space="preserve"> the P loss</w:t>
      </w:r>
      <w:r w:rsidRPr="00E747A2">
        <w:rPr>
          <w:color w:val="auto"/>
          <w:szCs w:val="24"/>
        </w:rPr>
        <w:t xml:space="preserve">. </w:t>
      </w:r>
      <w:r w:rsidR="00D00A43" w:rsidRPr="00E747A2">
        <w:rPr>
          <w:color w:val="auto"/>
          <w:szCs w:val="24"/>
        </w:rPr>
        <w:t>Similarly, the obtained P loss</w:t>
      </w:r>
      <w:r w:rsidR="00142266" w:rsidRPr="00E747A2">
        <w:rPr>
          <w:color w:val="auto"/>
          <w:szCs w:val="24"/>
        </w:rPr>
        <w:t xml:space="preserve"> </w:t>
      </w:r>
      <w:r w:rsidR="00D00A43" w:rsidRPr="00E747A2">
        <w:rPr>
          <w:color w:val="auto"/>
          <w:szCs w:val="24"/>
        </w:rPr>
        <w:t xml:space="preserve">is </w:t>
      </w:r>
      <w:r w:rsidR="00BC2DCA" w:rsidRPr="00E747A2">
        <w:rPr>
          <w:color w:val="auto"/>
          <w:szCs w:val="24"/>
        </w:rPr>
        <w:t xml:space="preserve">lower than the value (830mg/kg DMI) </w:t>
      </w:r>
      <w:r w:rsidR="00D00A43" w:rsidRPr="00E747A2">
        <w:rPr>
          <w:color w:val="auto"/>
          <w:szCs w:val="24"/>
        </w:rPr>
        <w:t>compare to the report of</w:t>
      </w:r>
      <w:r w:rsidR="00BC2DCA" w:rsidRPr="00E747A2">
        <w:rPr>
          <w:color w:val="auto"/>
          <w:szCs w:val="24"/>
        </w:rPr>
        <w:t xml:space="preserve"> </w:t>
      </w:r>
      <w:r w:rsidR="00382493" w:rsidRPr="00E747A2">
        <w:rPr>
          <w:color w:val="auto"/>
          <w:szCs w:val="24"/>
        </w:rPr>
        <w:fldChar w:fldCharType="begin" w:fldLock="1"/>
      </w:r>
      <w:r w:rsidR="000877D7">
        <w:rPr>
          <w:color w:val="auto"/>
          <w:szCs w:val="24"/>
        </w:rPr>
        <w:instrText>ADDIN CSL_CITATION {"citationItems":[{"id":"ITEM-1","itemData":{"author":[{"dropping-particle":"","family":"Mutucumarana R. K.","given":"","non-dropping-particle":"","parse-names":false,"suffix":""}],"id":"ITEM-1","issued":{"date-parts":[["2014"]]},"number-of-pages":"1-208","publisher":"Massey Universtity, Palmerston North, New Zealand","title":"Measurment of true ileal phosphorus digestibility in feed ingredients for poultry [dissertation].","type":"thesis"},"uris":["http://www.mendeley.com/documents/?uuid=aa3a01d4-6929-42c4-949a-3d4d314fb519"]}],"mendeley":{"formattedCitation":"(Mutucumarana R. K. 2014)","manualFormatting":"Mutucumaranata (2014)","plainTextFormattedCitation":"(Mutucumarana R. K. 2014)","previouslyFormattedCitation":"(Mutucumarana R. K., 2014)"},"properties":{"noteIndex":0},"schema":"https://github.com/citation-style-language/schema/raw/master/csl-citation.json"}</w:instrText>
      </w:r>
      <w:r w:rsidR="00382493" w:rsidRPr="00E747A2">
        <w:rPr>
          <w:color w:val="auto"/>
          <w:szCs w:val="24"/>
        </w:rPr>
        <w:fldChar w:fldCharType="separate"/>
      </w:r>
      <w:r w:rsidR="00E071A9" w:rsidRPr="00E747A2">
        <w:rPr>
          <w:noProof/>
          <w:color w:val="auto"/>
          <w:szCs w:val="24"/>
        </w:rPr>
        <w:t>Mutucumaranata</w:t>
      </w:r>
      <w:r w:rsidR="00AB3728" w:rsidRPr="00E747A2">
        <w:rPr>
          <w:noProof/>
          <w:color w:val="auto"/>
          <w:szCs w:val="24"/>
        </w:rPr>
        <w:t xml:space="preserve"> </w:t>
      </w:r>
      <w:r w:rsidR="00E071A9" w:rsidRPr="00E747A2">
        <w:rPr>
          <w:noProof/>
          <w:color w:val="auto"/>
          <w:szCs w:val="24"/>
        </w:rPr>
        <w:t>(</w:t>
      </w:r>
      <w:r w:rsidR="00AB3728" w:rsidRPr="00E747A2">
        <w:rPr>
          <w:noProof/>
          <w:color w:val="auto"/>
          <w:szCs w:val="24"/>
        </w:rPr>
        <w:t>2014)</w:t>
      </w:r>
      <w:r w:rsidR="00382493" w:rsidRPr="00E747A2">
        <w:rPr>
          <w:color w:val="auto"/>
          <w:szCs w:val="24"/>
        </w:rPr>
        <w:fldChar w:fldCharType="end"/>
      </w:r>
      <w:r w:rsidR="005D77C0" w:rsidRPr="00E747A2">
        <w:rPr>
          <w:color w:val="auto"/>
          <w:szCs w:val="24"/>
        </w:rPr>
        <w:t xml:space="preserve"> </w:t>
      </w:r>
      <w:r w:rsidR="00BC2DCA" w:rsidRPr="00E747A2">
        <w:rPr>
          <w:color w:val="auto"/>
          <w:szCs w:val="24"/>
        </w:rPr>
        <w:t xml:space="preserve">on broilers fed P-free diet and higher than the value ranged between -107 and 63 mg/kg DMI reported by </w:t>
      </w:r>
      <w:r w:rsidR="00382493" w:rsidRPr="00E747A2">
        <w:rPr>
          <w:color w:val="auto"/>
          <w:szCs w:val="24"/>
        </w:rPr>
        <w:fldChar w:fldCharType="begin" w:fldLock="1"/>
      </w:r>
      <w:r w:rsidR="000877D7">
        <w:rPr>
          <w:color w:val="auto"/>
          <w:szCs w:val="24"/>
        </w:rPr>
        <w:instrText>ADDIN CSL_CITATION {"citationItems":[{"id":"ITEM-1","itemData":{"DOI":"10.4141/CJAS2013-170","author":[{"dropping-particle":"","family":"Liu","given":"A.J. B.","non-dropping-particle":"","parse-names":false,"suffix":""},{"dropping-particle":"","family":"Chen","given":"D. W.","non-dropping-particle":"","parse-names":false,"suffix":""},{"dropping-particle":"","family":"Adeola","given":"O.","non-dropping-particle":"","parse-names":false,"suffix":""},{"dropping-particle":"","family":"Liu","given":"J. B.","non-dropping-particle":"","parse-names":false,"suffix":""},{"dropping-particle":"","family":"Chen","given":"D. W.","non-dropping-particle":"","parse-names":false,"suffix":""},{"dropping-particle":"","family":"Adeola","given":"O.","non-dropping-particle":"","parse-names":false,"suffix":""}],"container-title":"Can. J. Anim. Sci.","id":"ITEM-1","issue":"4","issued":{"date-parts":[["2014"]]},"page":"661-668","title":"Casein supplementation does not affect true phosphorus digestibility and endogenous phosphorus loss associated with soybean meal for broiler chickens determined by the regression method","type":"article-journal","volume":"94"},"uris":["http://www.mendeley.com/documents/?uuid=8d428ef6-e671-4429-abb9-fe14448151d9"]}],"mendeley":{"formattedCitation":"(Liu et al. 2014)","manualFormatting":"Liu et al. (2014)","plainTextFormattedCitation":"(Liu et al. 2014)","previouslyFormattedCitation":"(Liu et al., 2014)"},"properties":{"noteIndex":0},"schema":"https://github.com/citation-style-language/schema/raw/master/csl-citation.json"}</w:instrText>
      </w:r>
      <w:r w:rsidR="00382493" w:rsidRPr="00E747A2">
        <w:rPr>
          <w:color w:val="auto"/>
          <w:szCs w:val="24"/>
        </w:rPr>
        <w:fldChar w:fldCharType="separate"/>
      </w:r>
      <w:r w:rsidR="004643E2" w:rsidRPr="00E747A2">
        <w:rPr>
          <w:noProof/>
          <w:color w:val="auto"/>
          <w:szCs w:val="24"/>
        </w:rPr>
        <w:t>Liu et al.</w:t>
      </w:r>
      <w:r w:rsidR="00AB3728" w:rsidRPr="00E747A2">
        <w:rPr>
          <w:noProof/>
          <w:color w:val="auto"/>
          <w:szCs w:val="24"/>
        </w:rPr>
        <w:t xml:space="preserve"> </w:t>
      </w:r>
      <w:r w:rsidR="00E071A9" w:rsidRPr="00E747A2">
        <w:rPr>
          <w:noProof/>
          <w:color w:val="auto"/>
          <w:szCs w:val="24"/>
        </w:rPr>
        <w:t>(</w:t>
      </w:r>
      <w:r w:rsidR="00AB3728" w:rsidRPr="00E747A2">
        <w:rPr>
          <w:noProof/>
          <w:color w:val="auto"/>
          <w:szCs w:val="24"/>
        </w:rPr>
        <w:t>2014)</w:t>
      </w:r>
      <w:r w:rsidR="00382493" w:rsidRPr="00E747A2">
        <w:rPr>
          <w:color w:val="auto"/>
          <w:szCs w:val="24"/>
        </w:rPr>
        <w:fldChar w:fldCharType="end"/>
      </w:r>
      <w:r w:rsidR="00BF57FF" w:rsidRPr="00E747A2">
        <w:rPr>
          <w:color w:val="auto"/>
          <w:szCs w:val="24"/>
        </w:rPr>
        <w:t xml:space="preserve">. </w:t>
      </w:r>
      <w:r w:rsidR="00BC2DCA" w:rsidRPr="00E747A2">
        <w:rPr>
          <w:color w:val="auto"/>
          <w:szCs w:val="24"/>
        </w:rPr>
        <w:t xml:space="preserve">The factors </w:t>
      </w:r>
      <w:r w:rsidR="00D00A43" w:rsidRPr="00E747A2">
        <w:rPr>
          <w:color w:val="auto"/>
          <w:szCs w:val="24"/>
        </w:rPr>
        <w:t>such as</w:t>
      </w:r>
      <w:r w:rsidR="00BC2DCA" w:rsidRPr="00E747A2">
        <w:rPr>
          <w:color w:val="auto"/>
          <w:szCs w:val="24"/>
        </w:rPr>
        <w:t xml:space="preserve"> dietary, animal, and research protocol approaches may contribute </w:t>
      </w:r>
      <w:r w:rsidR="00D00A43" w:rsidRPr="00E747A2">
        <w:rPr>
          <w:color w:val="auto"/>
          <w:szCs w:val="24"/>
        </w:rPr>
        <w:t>to</w:t>
      </w:r>
      <w:r w:rsidR="00BC2DCA" w:rsidRPr="00E747A2">
        <w:rPr>
          <w:color w:val="auto"/>
          <w:szCs w:val="24"/>
        </w:rPr>
        <w:t xml:space="preserve"> the diverse value of the EPL </w:t>
      </w:r>
      <w:r w:rsidR="00382493" w:rsidRPr="00E747A2">
        <w:rPr>
          <w:color w:val="auto"/>
          <w:szCs w:val="24"/>
        </w:rPr>
        <w:fldChar w:fldCharType="begin" w:fldLock="1"/>
      </w:r>
      <w:r w:rsidR="000877D7">
        <w:rPr>
          <w:color w:val="auto"/>
          <w:szCs w:val="24"/>
        </w:rPr>
        <w:instrText>ADDIN CSL_CITATION {"citationItems":[{"id":"ITEM-1","itemData":{"author":[{"dropping-particle":"","family":"Rutherfurd","given":"S M","non-dropping-particle":"","parse-names":false,"suffix":""},{"dropping-particle":"","family":"Chung","given":"T K","non-dropping-particle":"","parse-names":false,"suffix":""},{"dropping-particle":"","family":"Morel","given":"P C H","non-dropping-particle":"","parse-names":false,"suffix":""},{"dropping-particle":"","family":"Moughan","given":"P J","non-dropping-particle":"","parse-names":false,"suffix":""}],"container-title":"Poultry Science","id":"ITEM-1","issued":{"date-parts":[["2004"]]},"page":"61-68","title":"Effect of microbial phytase on ileal digestibility of phytate phosphorus , total phosphorus , and amino acids in a low-phosphorus diet for broilers","type":"article-journal","volume":"83"},"uris":["http://www.mendeley.com/documents/?uuid=ed144c7b-c4a4-4101-b398-ee319e81459f"]},{"id":"ITEM-2","itemData":{"author":[{"dropping-particle":"","family":"Dilger","given":"R N","non-dropping-particle":"","parse-names":false,"suffix":""},{"dropping-particle":"","family":"Adeola","given":"O","non-dropping-particle":"","parse-names":false,"suffix":""}],"container-title":"Poultry Science","id":"ITEM-2","issue":"November","issued":{"date-parts":[["2006"]]},"page":"661-668","title":"Estimation of true phosphorus digestibility and endogenous phosphorus loss in growing chicks fed conventional and low-phytate soybean meals","type":"article-journal","volume":"85"},"uris":["http://www.mendeley.com/documents/?uuid=2cfbe1a6-a07d-42ae-8842-d9f19aec0f5b"]}],"mendeley":{"formattedCitation":"(R N Dilger and Adeola 2006; Rutherfurd et al. 2004)","manualFormatting":"(Dilger and Adeola 2006a; Rutherfurd et al., 2004)","plainTextFormattedCitation":"(R N Dilger and Adeola 2006; Rutherfurd et al. 2004)","previouslyFormattedCitation":"(R N Dilger and Adeola, 2006; Rutherfurd et al., 2004)"},"properties":{"noteIndex":0},"schema":"https://github.com/citation-style-language/schema/raw/master/csl-citation.json"}</w:instrText>
      </w:r>
      <w:r w:rsidR="00382493" w:rsidRPr="00E747A2">
        <w:rPr>
          <w:color w:val="auto"/>
          <w:szCs w:val="24"/>
        </w:rPr>
        <w:fldChar w:fldCharType="separate"/>
      </w:r>
      <w:r w:rsidR="0036522F" w:rsidRPr="00E747A2">
        <w:rPr>
          <w:noProof/>
          <w:color w:val="auto"/>
          <w:szCs w:val="24"/>
        </w:rPr>
        <w:t>(Dilger and Adeola 2006</w:t>
      </w:r>
      <w:r w:rsidR="00DF5BDA" w:rsidRPr="00E747A2">
        <w:rPr>
          <w:noProof/>
          <w:color w:val="auto"/>
          <w:szCs w:val="24"/>
        </w:rPr>
        <w:t>a</w:t>
      </w:r>
      <w:r w:rsidR="0036522F" w:rsidRPr="00E747A2">
        <w:rPr>
          <w:noProof/>
          <w:color w:val="auto"/>
          <w:szCs w:val="24"/>
        </w:rPr>
        <w:t>; Rutherfurd et al.</w:t>
      </w:r>
      <w:r w:rsidR="004643E2" w:rsidRPr="00E747A2">
        <w:rPr>
          <w:noProof/>
          <w:color w:val="auto"/>
          <w:szCs w:val="24"/>
        </w:rPr>
        <w:t>,</w:t>
      </w:r>
      <w:r w:rsidR="0036522F" w:rsidRPr="00E747A2">
        <w:rPr>
          <w:noProof/>
          <w:color w:val="auto"/>
          <w:szCs w:val="24"/>
        </w:rPr>
        <w:t xml:space="preserve"> 2004)</w:t>
      </w:r>
      <w:r w:rsidR="00382493" w:rsidRPr="00E747A2">
        <w:rPr>
          <w:color w:val="auto"/>
          <w:szCs w:val="24"/>
        </w:rPr>
        <w:fldChar w:fldCharType="end"/>
      </w:r>
      <w:r w:rsidR="00BF57FF" w:rsidRPr="00E747A2">
        <w:rPr>
          <w:color w:val="auto"/>
          <w:szCs w:val="24"/>
        </w:rPr>
        <w:t xml:space="preserve">. </w:t>
      </w:r>
    </w:p>
    <w:p w:rsidR="001E31CF" w:rsidRPr="00E747A2" w:rsidRDefault="009725E0"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iCs/>
          <w:color w:val="auto"/>
          <w:sz w:val="24"/>
          <w:szCs w:val="24"/>
        </w:rPr>
      </w:pPr>
      <w:r w:rsidRPr="00E747A2">
        <w:rPr>
          <w:rFonts w:ascii="Times New Roman" w:hAnsi="Times New Roman" w:cs="Times New Roman"/>
          <w:iCs/>
          <w:color w:val="auto"/>
          <w:sz w:val="24"/>
          <w:szCs w:val="24"/>
        </w:rPr>
        <w:t xml:space="preserve"> </w:t>
      </w:r>
      <w:r w:rsidR="001E31CF" w:rsidRPr="00E747A2">
        <w:rPr>
          <w:rFonts w:ascii="Times New Roman" w:hAnsi="Times New Roman" w:cs="Times New Roman"/>
          <w:iCs/>
          <w:color w:val="auto"/>
          <w:sz w:val="24"/>
          <w:szCs w:val="24"/>
        </w:rPr>
        <w:t xml:space="preserve">Phosphorus </w:t>
      </w:r>
      <w:r w:rsidR="00E53C3F" w:rsidRPr="00E747A2">
        <w:rPr>
          <w:rFonts w:ascii="Times New Roman" w:hAnsi="Times New Roman" w:cs="Times New Roman"/>
          <w:iCs/>
          <w:color w:val="auto"/>
          <w:sz w:val="24"/>
          <w:szCs w:val="24"/>
        </w:rPr>
        <w:t>availability of f</w:t>
      </w:r>
      <w:r w:rsidR="001C1BBC" w:rsidRPr="00E747A2">
        <w:rPr>
          <w:rFonts w:ascii="Times New Roman" w:hAnsi="Times New Roman" w:cs="Times New Roman"/>
          <w:iCs/>
          <w:color w:val="auto"/>
          <w:sz w:val="24"/>
          <w:szCs w:val="24"/>
        </w:rPr>
        <w:t>eedstuffs</w:t>
      </w:r>
    </w:p>
    <w:p w:rsidR="007E343C" w:rsidRPr="00E747A2" w:rsidRDefault="00FD26DB" w:rsidP="00A26AD1">
      <w:pPr>
        <w:spacing w:line="480" w:lineRule="auto"/>
        <w:rPr>
          <w:i/>
          <w:color w:val="auto"/>
        </w:rPr>
      </w:pPr>
      <w:r w:rsidRPr="00E747A2">
        <w:rPr>
          <w:color w:val="auto"/>
        </w:rPr>
        <w:t>Since one-</w:t>
      </w:r>
      <w:r w:rsidR="007E343C" w:rsidRPr="00E747A2">
        <w:rPr>
          <w:color w:val="auto"/>
        </w:rPr>
        <w:t xml:space="preserve">third of phosphorus in </w:t>
      </w:r>
      <w:r w:rsidRPr="00E747A2">
        <w:rPr>
          <w:color w:val="auto"/>
        </w:rPr>
        <w:t xml:space="preserve">the </w:t>
      </w:r>
      <w:r w:rsidR="007E343C" w:rsidRPr="00E747A2">
        <w:rPr>
          <w:color w:val="auto"/>
        </w:rPr>
        <w:t xml:space="preserve">plant feedstuffs </w:t>
      </w:r>
      <w:r w:rsidRPr="00E747A2">
        <w:rPr>
          <w:color w:val="auto"/>
        </w:rPr>
        <w:t>are</w:t>
      </w:r>
      <w:r w:rsidR="007E343C" w:rsidRPr="00E747A2">
        <w:rPr>
          <w:color w:val="auto"/>
        </w:rPr>
        <w:t xml:space="preserve"> in the form of non-phytate phosphorus, and the remaining 2/3 is in the form of phytate phosphorus, it is gene</w:t>
      </w:r>
      <w:r w:rsidRPr="00E747A2">
        <w:rPr>
          <w:color w:val="auto"/>
        </w:rPr>
        <w:t>rally believed that the availab</w:t>
      </w:r>
      <w:r w:rsidR="007E343C" w:rsidRPr="00E747A2">
        <w:rPr>
          <w:color w:val="auto"/>
        </w:rPr>
        <w:t>il</w:t>
      </w:r>
      <w:r w:rsidR="00A92F31" w:rsidRPr="00E747A2">
        <w:rPr>
          <w:color w:val="auto"/>
        </w:rPr>
        <w:t>i</w:t>
      </w:r>
      <w:r w:rsidR="007E343C" w:rsidRPr="00E747A2">
        <w:rPr>
          <w:color w:val="auto"/>
        </w:rPr>
        <w:t>ty of phosphorus in plant feed</w:t>
      </w:r>
      <w:r w:rsidR="00816D95" w:rsidRPr="00E747A2">
        <w:rPr>
          <w:color w:val="auto"/>
        </w:rPr>
        <w:t>stuffs</w:t>
      </w:r>
      <w:r w:rsidR="007E343C" w:rsidRPr="00E747A2">
        <w:rPr>
          <w:color w:val="auto"/>
        </w:rPr>
        <w:t xml:space="preserve"> is about 1/3</w:t>
      </w:r>
      <w:r w:rsidR="00382493" w:rsidRPr="00E747A2">
        <w:rPr>
          <w:i/>
          <w:color w:val="auto"/>
        </w:rPr>
        <w:fldChar w:fldCharType="begin" w:fldLock="1"/>
      </w:r>
      <w:r w:rsidR="000877D7">
        <w:rPr>
          <w:color w:val="auto"/>
        </w:rPr>
        <w:instrText>ADDIN CSL_CITATION {"citationItems":[{"id":"ITEM-1","itemData":{"DOI":"https://doi.org/10.17226/2114","abstract":"Description This classic reference for poultry nutrition has been updated for the first time since 1984. The chapter on general considerations concerning individual nutrients and water has been greatly expanded and includes, for the first time, equations for predicting the energy value of individual feed ingredients from their proximate composition. This volume includes the latest information on the nutrient requirements of meat- and egg-type chickens, incorporating data on brown-egg strains, turkeys, geese, ducks, pheasants, Japanese quail, and Bobwhite quail. This publication also contains new appendix tables that document in detail the scientific information used to derive the nutrient requirements appearing in the summary tables for each species of bird. OVERVIEW COMPONENTS OF POULTRY DIETS Energy Carbohydrates Protein and Amino Acids Fats Minerals Vitamins Water Xanthophylls Unidentified Growth Factors Antimicrobials NUTRIENT REQUIREMENTS OF CHICKENS Leghorn-Type Chickens Meat-Type Chickens NUTRIENT REQUIREMENTS OF TURKEYS Starting and Growing Turkeys Turkey Breeders NUTRIENT REQUIREMENTS OF GEESE NUTRIENT REQUIREMENTS OF DUCKS NUTRIENT REQUIREMENTS OF RING-NECKED PHEASANTS JAPANESE QUAIL, AND BOBWHITE QUAIL Ring-Necked Pheasants Japanese Quail Bobwhite Quail SIGNS OF NUTRITIONAL DEFICIENCIES IN CHICKENS AND TURKEYS Protein and Amino Acid Deficiencies Vitamin Deficiencies Mineral Deficiencies COMPOSITION OF FEEDSTUFFS USED IN POULTRY DIETS Cereal Grains Protein Supplements Estimating the Amino Acid Composition of Feedstuffs Characteristics of Dietary Fats Macromineral Supplements Mycotoxins STANDARD REFERENCE DIETS FOR CHICKS APPENDIXES A Documentation of Nutrient Requirements B Estimating the Energy Value of Feed Ingredients C Conversion Factors REFERENCES AUTHORS INDEX","author":[{"dropping-particle":"","family":"NRC","given":"","non-dropping-particle":"","parse-names":false,"suffix":""}],"id":"ITEM-1","issued":{"date-parts":[["1994"]]},"publisher":"Ninth Revised Edition, National Academy Press, Washington, D.C.USA","title":"Nutrient requirements of poultry","type":"book"},"uris":["http://www.mendeley.com/documents/?uuid=b878e815-52a5-428d-b33b-5bf303630143"]}],"mendeley":{"formattedCitation":"(NRC 1994)","plainTextFormattedCitation":"(NRC 1994)","previouslyFormattedCitation":"(NRC, 1994)"},"properties":{"noteIndex":0},"schema":"https://github.com/citation-style-language/schema/raw/master/csl-citation.json"}</w:instrText>
      </w:r>
      <w:r w:rsidR="00382493" w:rsidRPr="00E747A2">
        <w:rPr>
          <w:i/>
          <w:color w:val="auto"/>
        </w:rPr>
        <w:fldChar w:fldCharType="separate"/>
      </w:r>
      <w:r w:rsidR="000877D7" w:rsidRPr="000877D7">
        <w:rPr>
          <w:noProof/>
          <w:color w:val="auto"/>
        </w:rPr>
        <w:t>(NRC 1994)</w:t>
      </w:r>
      <w:r w:rsidR="00382493" w:rsidRPr="00E747A2">
        <w:rPr>
          <w:i/>
          <w:color w:val="auto"/>
        </w:rPr>
        <w:fldChar w:fldCharType="end"/>
      </w:r>
      <w:r w:rsidR="007E343C" w:rsidRPr="00E747A2">
        <w:rPr>
          <w:color w:val="auto"/>
        </w:rPr>
        <w:t xml:space="preserve">. However, most of </w:t>
      </w:r>
      <w:r w:rsidRPr="00E747A2">
        <w:rPr>
          <w:color w:val="auto"/>
        </w:rPr>
        <w:t xml:space="preserve">the </w:t>
      </w:r>
      <w:r w:rsidR="00A92F31" w:rsidRPr="00E747A2">
        <w:rPr>
          <w:color w:val="auto"/>
        </w:rPr>
        <w:t xml:space="preserve">tested </w:t>
      </w:r>
      <w:r w:rsidR="007E343C" w:rsidRPr="00E747A2">
        <w:rPr>
          <w:color w:val="auto"/>
        </w:rPr>
        <w:t xml:space="preserve">ingredients </w:t>
      </w:r>
      <w:r w:rsidR="003E24BF" w:rsidRPr="00E747A2">
        <w:rPr>
          <w:color w:val="auto"/>
        </w:rPr>
        <w:t>showed</w:t>
      </w:r>
      <w:r w:rsidR="00816D95" w:rsidRPr="00E747A2">
        <w:rPr>
          <w:color w:val="auto"/>
        </w:rPr>
        <w:t xml:space="preserve"> </w:t>
      </w:r>
      <w:r w:rsidR="001D3BAB" w:rsidRPr="00E747A2">
        <w:rPr>
          <w:color w:val="auto"/>
        </w:rPr>
        <w:t xml:space="preserve">higher availability of P </w:t>
      </w:r>
      <w:r w:rsidR="003E24BF" w:rsidRPr="00E747A2">
        <w:rPr>
          <w:color w:val="auto"/>
        </w:rPr>
        <w:t>which ranged</w:t>
      </w:r>
      <w:r w:rsidR="00A92F31" w:rsidRPr="00E747A2">
        <w:rPr>
          <w:color w:val="auto"/>
        </w:rPr>
        <w:t xml:space="preserve"> </w:t>
      </w:r>
      <w:r w:rsidR="001D3BAB" w:rsidRPr="00E747A2">
        <w:rPr>
          <w:color w:val="auto"/>
        </w:rPr>
        <w:t>from 33</w:t>
      </w:r>
      <w:r w:rsidR="00816D95" w:rsidRPr="00E747A2">
        <w:rPr>
          <w:color w:val="auto"/>
        </w:rPr>
        <w:t xml:space="preserve">.65% </w:t>
      </w:r>
      <w:r w:rsidR="00A92F31" w:rsidRPr="00E747A2">
        <w:rPr>
          <w:color w:val="auto"/>
        </w:rPr>
        <w:t>for</w:t>
      </w:r>
      <w:r w:rsidR="00816D95" w:rsidRPr="00E747A2">
        <w:rPr>
          <w:color w:val="auto"/>
        </w:rPr>
        <w:t xml:space="preserve"> wheat </w:t>
      </w:r>
      <w:r w:rsidR="001D3BAB" w:rsidRPr="00E747A2">
        <w:rPr>
          <w:color w:val="auto"/>
        </w:rPr>
        <w:t>grain</w:t>
      </w:r>
      <w:r w:rsidR="00816D95" w:rsidRPr="00E747A2">
        <w:rPr>
          <w:color w:val="auto"/>
        </w:rPr>
        <w:t xml:space="preserve"> to </w:t>
      </w:r>
      <w:r w:rsidR="00495101" w:rsidRPr="00E747A2">
        <w:rPr>
          <w:color w:val="auto"/>
        </w:rPr>
        <w:t>50.95</w:t>
      </w:r>
      <w:r w:rsidR="00816D95" w:rsidRPr="00E747A2">
        <w:rPr>
          <w:color w:val="auto"/>
        </w:rPr>
        <w:t xml:space="preserve">% </w:t>
      </w:r>
      <w:r w:rsidR="00A92F31" w:rsidRPr="00E747A2">
        <w:rPr>
          <w:color w:val="auto"/>
        </w:rPr>
        <w:t>for</w:t>
      </w:r>
      <w:r w:rsidR="00816D95" w:rsidRPr="00E747A2">
        <w:rPr>
          <w:color w:val="auto"/>
        </w:rPr>
        <w:t xml:space="preserve"> </w:t>
      </w:r>
      <w:r w:rsidR="00495101" w:rsidRPr="00E747A2">
        <w:rPr>
          <w:color w:val="auto"/>
        </w:rPr>
        <w:t>canola</w:t>
      </w:r>
      <w:r w:rsidR="00816D95" w:rsidRPr="00E747A2">
        <w:rPr>
          <w:color w:val="auto"/>
        </w:rPr>
        <w:t xml:space="preserve"> meal. </w:t>
      </w:r>
      <w:r w:rsidR="00A92F31" w:rsidRPr="00E747A2">
        <w:rPr>
          <w:color w:val="auto"/>
        </w:rPr>
        <w:t xml:space="preserve">According to </w:t>
      </w:r>
      <w:r w:rsidR="00382493" w:rsidRPr="00E747A2">
        <w:rPr>
          <w:i/>
          <w:color w:val="auto"/>
        </w:rPr>
        <w:fldChar w:fldCharType="begin" w:fldLock="1"/>
      </w:r>
      <w:r w:rsidR="000877D7">
        <w:rPr>
          <w:color w:val="auto"/>
        </w:rPr>
        <w:instrText>ADDIN CSL_CITATION {"citationItems":[{"id":"ITEM-1","itemData":{"author":[{"dropping-particle":"","family":"Nernberg","given":"L. W. J.","non-dropping-particle":"","parse-names":false,"suffix":""}],"id":"ITEM-1","issued":{"date-parts":[["1998"]]},"number-of-pages":"1-121","publisher":"The University of Manitoba, Canada","title":"Improved phosphorus availability in poultry fed wheat/canola meal-based diets supplemented with phytase enzyme [master's thesis].","type":"thesis"},"uris":["http://www.mendeley.com/documents/?uuid=88cb7e16-1b8d-4cfa-b7fb-4f19558714d3"]}],"mendeley":{"formattedCitation":"(Nernberg 1998)","manualFormatting":"Nernberg (1998)","plainTextFormattedCitation":"(Nernberg 1998)","previouslyFormattedCitation":"(Nernberg, 1998)"},"properties":{"noteIndex":0},"schema":"https://github.com/citation-style-language/schema/raw/master/csl-citation.json"}</w:instrText>
      </w:r>
      <w:r w:rsidR="00382493" w:rsidRPr="00E747A2">
        <w:rPr>
          <w:i/>
          <w:color w:val="auto"/>
        </w:rPr>
        <w:fldChar w:fldCharType="separate"/>
      </w:r>
      <w:r w:rsidR="00A92F31" w:rsidRPr="00E747A2">
        <w:rPr>
          <w:noProof/>
          <w:color w:val="auto"/>
        </w:rPr>
        <w:t xml:space="preserve">Nernberg </w:t>
      </w:r>
      <w:r w:rsidR="00154085" w:rsidRPr="00E747A2">
        <w:rPr>
          <w:noProof/>
          <w:color w:val="auto"/>
        </w:rPr>
        <w:t>(</w:t>
      </w:r>
      <w:r w:rsidR="00A92F31" w:rsidRPr="00E747A2">
        <w:rPr>
          <w:noProof/>
          <w:color w:val="auto"/>
        </w:rPr>
        <w:t>1998)</w:t>
      </w:r>
      <w:r w:rsidR="00382493" w:rsidRPr="00E747A2">
        <w:rPr>
          <w:i/>
          <w:color w:val="auto"/>
        </w:rPr>
        <w:fldChar w:fldCharType="end"/>
      </w:r>
      <w:r w:rsidR="00154085" w:rsidRPr="00E747A2">
        <w:rPr>
          <w:color w:val="auto"/>
        </w:rPr>
        <w:t>,</w:t>
      </w:r>
      <w:r w:rsidR="006D7866" w:rsidRPr="00E747A2">
        <w:rPr>
          <w:color w:val="auto"/>
        </w:rPr>
        <w:t xml:space="preserve"> t</w:t>
      </w:r>
      <w:r w:rsidR="00816D95" w:rsidRPr="00E747A2">
        <w:rPr>
          <w:color w:val="auto"/>
        </w:rPr>
        <w:t>he variation in P availability</w:t>
      </w:r>
      <w:r w:rsidR="00251F7E" w:rsidRPr="00E747A2">
        <w:rPr>
          <w:color w:val="auto"/>
        </w:rPr>
        <w:t xml:space="preserve"> </w:t>
      </w:r>
      <w:r w:rsidR="00BB056F" w:rsidRPr="00E747A2">
        <w:rPr>
          <w:color w:val="auto"/>
        </w:rPr>
        <w:t>between</w:t>
      </w:r>
      <w:r w:rsidR="00251F7E" w:rsidRPr="00E747A2">
        <w:rPr>
          <w:color w:val="auto"/>
        </w:rPr>
        <w:t xml:space="preserve"> the different</w:t>
      </w:r>
      <w:r w:rsidR="00816D95" w:rsidRPr="00E747A2">
        <w:rPr>
          <w:color w:val="auto"/>
        </w:rPr>
        <w:t xml:space="preserve"> ingredients may</w:t>
      </w:r>
      <w:r w:rsidR="00154085" w:rsidRPr="00E747A2">
        <w:rPr>
          <w:color w:val="auto"/>
        </w:rPr>
        <w:t xml:space="preserve"> be</w:t>
      </w:r>
      <w:r w:rsidR="00816D95" w:rsidRPr="00E747A2">
        <w:rPr>
          <w:color w:val="auto"/>
        </w:rPr>
        <w:t xml:space="preserve"> related to the concentration phytate P and non-phytate P of the feedstuffs</w:t>
      </w:r>
      <w:r w:rsidR="006D7866" w:rsidRPr="00E747A2">
        <w:rPr>
          <w:color w:val="auto"/>
        </w:rPr>
        <w:t>, and</w:t>
      </w:r>
      <w:r w:rsidR="00142266" w:rsidRPr="00E747A2">
        <w:rPr>
          <w:color w:val="auto"/>
        </w:rPr>
        <w:t xml:space="preserve"> </w:t>
      </w:r>
      <w:r w:rsidR="006D7866" w:rsidRPr="00E747A2">
        <w:rPr>
          <w:color w:val="auto"/>
        </w:rPr>
        <w:t xml:space="preserve">there was </w:t>
      </w:r>
      <w:r w:rsidR="00816D95" w:rsidRPr="00E747A2">
        <w:rPr>
          <w:color w:val="auto"/>
        </w:rPr>
        <w:t xml:space="preserve">a strong negative relationship between the concentration of phytate P and P </w:t>
      </w:r>
      <w:r w:rsidR="006D7866" w:rsidRPr="00E747A2">
        <w:rPr>
          <w:color w:val="auto"/>
        </w:rPr>
        <w:t xml:space="preserve">digestibility in pigs </w:t>
      </w:r>
      <w:r w:rsidR="00382493" w:rsidRPr="00E747A2">
        <w:rPr>
          <w:i/>
          <w:color w:val="auto"/>
        </w:rPr>
        <w:fldChar w:fldCharType="begin" w:fldLock="1"/>
      </w:r>
      <w:r w:rsidR="000877D7">
        <w:rPr>
          <w:color w:val="auto"/>
        </w:rPr>
        <w:instrText>ADDIN CSL_CITATION {"citationItems":[{"id":"ITEM-1","itemData":{"DOI":"10.2527/jas.2013-6654","ISSN":"15253163","abstract":"Sixty-six barrows (initial BW: 27.4 ± 2.8 kg) were used to determine the standardized total tract digestibility (STTD) of P in copra meal (CM), palm kernel expellers from Indonesia (PKE-IN), palm kernel expellers from Costa Rica (PKE-CR), palm kernel meal from Costa Rica (PKM), and soybean meal (SBM) without or with exogenous phytase. Pigs were housed individually in metabolism cages and allotted to 11 diets with 6 replicate pigs per diet in a generalized randomized block design. Five diets were formulated by mixing cornstarch and sugar with CM, PKE-IN, PKE-CR, PKM, or SBM. Five additional diets, which were identical to the initial 5 diets but supplemented with 800 units of phytase, were also formulated. A P-free diet was used to measure basal endogenous losses of P by the pigs. Feces were collected for 5 d using the marker to marker approach after a 5-d adaptation period. Analyzed total P in CM, PKE-IN, PKE-CR, PKM, and SBM was 0.52, 0.51, 0.53, 0.54, and 0.67%, respectively. Phytate P was 0.22, 0.35, 0.38, 0.32, and 0.44% in CM, PKE-IN, PKE-CR, PKM, and SBM, respectively. Addition of phytase increased (P &lt; 0.05) the apparent total tract digestibility (ATTD) of P from 60.6 to 80.8, 27.3 to 56.5, 32.6 to 59.9, 48.9 to 64.1, and 41.1 to 72.2% in CM, PKE-IN, PKE-CR, PKM, and SBM, respectively. The ATTD of P in CM was greater (P &lt; 0.05) than in any of the other ingredients. The ATTD of P in SBM and PKM was greater (P &lt; 0.05) than in PKE-IN, with PKE-CR being intermediate. The STTD of P increased (P &lt; 0.05) from 70.6 to 90.3, 37.6 to 66.4, 43.2 to 69.9, 57.9 to 73.5, and 49.6 to 81.1% in CM, PKE-IN, PKE-CR, PKM, and SBM, respectively, when microbial phytase was added to the diets. When expressed as a percentage of total P, phytate P concentration in the ingredient negatively affected (P &lt; 0.05) the ATTD of P (107.09 - 1.0564 × % phytate P; R 2 = 87.1) and the STTD of P (116.3 - 1.0487 × % phytate P; R 2 = 89.4). In conclusion, microbial phytase increased P digestibility of CM, PKM, PKE-CR, PKE-IN, and SBM when fed to growing pigs, and the concentration of phytate P affects the response to microbial phytase. © 2014 American Society of Animal Science. All rights reserved.","author":[{"dropping-particle":"","family":"Almaguer","given":"B. L.","non-dropping-particle":"","parse-names":false,"suffix":""},{"dropping-particle":"","family":"Sulabo","given":"R. C.","non-dropping-particle":"","parse-names":false,"suffix":""},{"dropping-particle":"","family":"Liu","given":"Y.","non-dropping-particle":"","parse-names":false,"suffix":""},{"dropping-particle":"","family":"Stein","given":"H. H.","non-dropping-particle":"","parse-names":false,"suffix":""}],"container-title":"Journal of Animal Science","id":"ITEM-1","issue":"6","issued":{"date-parts":[["2014"]]},"page":"2473-2480","title":"Standardized total tract digestibility of phosphorus in copra meal, palm kernel expellers, palm kernel meal, and soybean meal fed to growing pigs","type":"article-journal","volume":"92"},"uris":["http://www.mendeley.com/documents/?uuid=c9856a8d-4700-4453-9dce-d69fe9c0d972"]}],"mendeley":{"formattedCitation":"(Almaguer et al. 2014)","manualFormatting":"(Almaguer et al., 2014)","plainTextFormattedCitation":"(Almaguer et al. 2014)","previouslyFormattedCitation":"(Almaguer et al., 2014)"},"properties":{"noteIndex":0},"schema":"https://github.com/citation-style-language/schema/raw/master/csl-citation.json"}</w:instrText>
      </w:r>
      <w:r w:rsidR="00382493" w:rsidRPr="00E747A2">
        <w:rPr>
          <w:i/>
          <w:color w:val="auto"/>
        </w:rPr>
        <w:fldChar w:fldCharType="separate"/>
      </w:r>
      <w:r w:rsidR="00BB056F" w:rsidRPr="00E747A2">
        <w:rPr>
          <w:noProof/>
          <w:color w:val="auto"/>
        </w:rPr>
        <w:t>(Almaguer et al.</w:t>
      </w:r>
      <w:r w:rsidR="00AB3728" w:rsidRPr="00E747A2">
        <w:rPr>
          <w:noProof/>
          <w:color w:val="auto"/>
        </w:rPr>
        <w:t>, 2014)</w:t>
      </w:r>
      <w:r w:rsidR="00382493" w:rsidRPr="00E747A2">
        <w:rPr>
          <w:i/>
          <w:color w:val="auto"/>
        </w:rPr>
        <w:fldChar w:fldCharType="end"/>
      </w:r>
      <w:r w:rsidR="00154085" w:rsidRPr="00E747A2">
        <w:rPr>
          <w:color w:val="auto"/>
        </w:rPr>
        <w:t>. However,</w:t>
      </w:r>
      <w:r w:rsidR="006D7866" w:rsidRPr="00E747A2">
        <w:rPr>
          <w:color w:val="auto"/>
        </w:rPr>
        <w:t xml:space="preserve"> the </w:t>
      </w:r>
      <w:r w:rsidR="00154085" w:rsidRPr="00E747A2">
        <w:rPr>
          <w:color w:val="auto"/>
        </w:rPr>
        <w:t xml:space="preserve">findings of this study </w:t>
      </w:r>
      <w:r w:rsidR="006D7866" w:rsidRPr="00E747A2">
        <w:rPr>
          <w:color w:val="auto"/>
        </w:rPr>
        <w:t>d</w:t>
      </w:r>
      <w:r w:rsidR="00251F7E" w:rsidRPr="00E747A2">
        <w:rPr>
          <w:color w:val="auto"/>
        </w:rPr>
        <w:t>o</w:t>
      </w:r>
      <w:r w:rsidR="006D7866" w:rsidRPr="00E747A2">
        <w:rPr>
          <w:color w:val="auto"/>
        </w:rPr>
        <w:t xml:space="preserve"> not support </w:t>
      </w:r>
      <w:r w:rsidR="00251F7E" w:rsidRPr="00E747A2">
        <w:rPr>
          <w:color w:val="auto"/>
        </w:rPr>
        <w:t xml:space="preserve">the above </w:t>
      </w:r>
      <w:r w:rsidR="006D7866" w:rsidRPr="00E747A2">
        <w:rPr>
          <w:color w:val="auto"/>
        </w:rPr>
        <w:t>view</w:t>
      </w:r>
      <w:r w:rsidR="00251F7E" w:rsidRPr="00E747A2">
        <w:rPr>
          <w:color w:val="auto"/>
        </w:rPr>
        <w:t>s</w:t>
      </w:r>
      <w:r w:rsidR="006D7866" w:rsidRPr="00E747A2">
        <w:rPr>
          <w:color w:val="auto"/>
        </w:rPr>
        <w:t xml:space="preserve">. </w:t>
      </w:r>
      <w:r w:rsidRPr="00E747A2">
        <w:rPr>
          <w:color w:val="auto"/>
        </w:rPr>
        <w:t>It seems that the existing</w:t>
      </w:r>
      <w:r w:rsidR="00251F7E" w:rsidRPr="00E747A2">
        <w:rPr>
          <w:color w:val="auto"/>
        </w:rPr>
        <w:t xml:space="preserve"> form, physical properties, chemical structure and endogenous phytase activity of phosphorus phytate affect the utilization rate of phosphorus. </w:t>
      </w:r>
      <w:r w:rsidR="003E24BF" w:rsidRPr="00E747A2">
        <w:rPr>
          <w:color w:val="auto"/>
        </w:rPr>
        <w:t>T</w:t>
      </w:r>
      <w:r w:rsidR="00251F7E" w:rsidRPr="00E747A2">
        <w:rPr>
          <w:color w:val="auto"/>
        </w:rPr>
        <w:t>he availab</w:t>
      </w:r>
      <w:r w:rsidRPr="00E747A2">
        <w:rPr>
          <w:color w:val="auto"/>
        </w:rPr>
        <w:t>i</w:t>
      </w:r>
      <w:r w:rsidR="00251F7E" w:rsidRPr="00E747A2">
        <w:rPr>
          <w:color w:val="auto"/>
        </w:rPr>
        <w:t xml:space="preserve">lity of phosphorus </w:t>
      </w:r>
      <w:r w:rsidR="003E24BF" w:rsidRPr="00E747A2">
        <w:rPr>
          <w:color w:val="auto"/>
        </w:rPr>
        <w:t>could</w:t>
      </w:r>
      <w:r w:rsidR="00251F7E" w:rsidRPr="00E747A2">
        <w:rPr>
          <w:color w:val="auto"/>
        </w:rPr>
        <w:t xml:space="preserve"> be </w:t>
      </w:r>
      <w:r w:rsidR="00993B29" w:rsidRPr="00E747A2">
        <w:rPr>
          <w:color w:val="auto"/>
        </w:rPr>
        <w:t>related</w:t>
      </w:r>
      <w:r w:rsidR="00E05F84" w:rsidRPr="00E747A2">
        <w:rPr>
          <w:color w:val="auto"/>
        </w:rPr>
        <w:t xml:space="preserve"> </w:t>
      </w:r>
      <w:r w:rsidR="00993B29" w:rsidRPr="00E747A2">
        <w:rPr>
          <w:color w:val="auto"/>
        </w:rPr>
        <w:t>to</w:t>
      </w:r>
      <w:r w:rsidR="00251F7E" w:rsidRPr="00E747A2">
        <w:rPr>
          <w:color w:val="auto"/>
        </w:rPr>
        <w:t xml:space="preserve"> the </w:t>
      </w:r>
      <w:r w:rsidR="00993B29" w:rsidRPr="00E747A2">
        <w:rPr>
          <w:color w:val="auto"/>
        </w:rPr>
        <w:t xml:space="preserve">bond </w:t>
      </w:r>
      <w:r w:rsidR="00251F7E" w:rsidRPr="00E747A2">
        <w:rPr>
          <w:color w:val="auto"/>
        </w:rPr>
        <w:t>form</w:t>
      </w:r>
      <w:r w:rsidR="00993B29" w:rsidRPr="00E747A2">
        <w:rPr>
          <w:color w:val="auto"/>
        </w:rPr>
        <w:t xml:space="preserve"> of phytate</w:t>
      </w:r>
      <w:r w:rsidR="0075070F" w:rsidRPr="00E747A2">
        <w:rPr>
          <w:color w:val="auto"/>
        </w:rPr>
        <w:t xml:space="preserve">, </w:t>
      </w:r>
      <w:r w:rsidR="00251F7E" w:rsidRPr="00E747A2">
        <w:rPr>
          <w:color w:val="auto"/>
        </w:rPr>
        <w:t>endogenous phytase activity</w:t>
      </w:r>
      <w:r w:rsidRPr="00E747A2">
        <w:rPr>
          <w:color w:val="auto"/>
        </w:rPr>
        <w:t xml:space="preserve">, physical properties, </w:t>
      </w:r>
      <w:r w:rsidR="00154085" w:rsidRPr="00E747A2">
        <w:rPr>
          <w:color w:val="auto"/>
        </w:rPr>
        <w:t xml:space="preserve">the </w:t>
      </w:r>
      <w:r w:rsidRPr="00E747A2">
        <w:rPr>
          <w:color w:val="auto"/>
        </w:rPr>
        <w:t xml:space="preserve">chemical structure of ingredients, </w:t>
      </w:r>
      <w:r w:rsidR="00993B29" w:rsidRPr="00E747A2">
        <w:rPr>
          <w:color w:val="auto"/>
        </w:rPr>
        <w:t xml:space="preserve">and other unknown factors. </w:t>
      </w:r>
    </w:p>
    <w:p w:rsidR="00257313" w:rsidRPr="00E747A2" w:rsidRDefault="00154085" w:rsidP="000E696E">
      <w:pPr>
        <w:spacing w:line="480" w:lineRule="auto"/>
        <w:ind w:firstLine="420"/>
        <w:rPr>
          <w:i/>
          <w:color w:val="auto"/>
        </w:rPr>
      </w:pPr>
      <w:bookmarkStart w:id="2" w:name="_GoBack"/>
      <w:bookmarkEnd w:id="2"/>
      <w:r w:rsidRPr="00E747A2">
        <w:rPr>
          <w:color w:val="auto"/>
        </w:rPr>
        <w:lastRenderedPageBreak/>
        <w:t>T</w:t>
      </w:r>
      <w:r w:rsidR="00993B29" w:rsidRPr="00E747A2">
        <w:rPr>
          <w:color w:val="auto"/>
        </w:rPr>
        <w:t xml:space="preserve">he apparent availability of P in SBM (49.84%) </w:t>
      </w:r>
      <w:r w:rsidR="007F429F" w:rsidRPr="00E747A2">
        <w:rPr>
          <w:color w:val="auto"/>
        </w:rPr>
        <w:t>is also</w:t>
      </w:r>
      <w:r w:rsidR="00993B29" w:rsidRPr="00E747A2">
        <w:rPr>
          <w:color w:val="auto"/>
        </w:rPr>
        <w:t xml:space="preserve"> in agreement with </w:t>
      </w:r>
      <w:r w:rsidRPr="00E747A2">
        <w:rPr>
          <w:color w:val="auto"/>
        </w:rPr>
        <w:t xml:space="preserve">the existing literature who </w:t>
      </w:r>
      <w:r w:rsidR="00993B29" w:rsidRPr="00E747A2">
        <w:rPr>
          <w:color w:val="auto"/>
        </w:rPr>
        <w:t>report</w:t>
      </w:r>
      <w:r w:rsidRPr="00E747A2">
        <w:rPr>
          <w:color w:val="auto"/>
        </w:rPr>
        <w:t>ed a value</w:t>
      </w:r>
      <w:r w:rsidR="00993B29" w:rsidRPr="00E747A2">
        <w:rPr>
          <w:color w:val="auto"/>
        </w:rPr>
        <w:t xml:space="preserve"> ranged from 14 to 62.7% </w:t>
      </w:r>
      <w:r w:rsidR="00382493" w:rsidRPr="00E747A2">
        <w:rPr>
          <w:i/>
          <w:color w:val="auto"/>
        </w:rPr>
        <w:fldChar w:fldCharType="begin" w:fldLock="1"/>
      </w:r>
      <w:r w:rsidR="000877D7">
        <w:rPr>
          <w:color w:val="auto"/>
        </w:rPr>
        <w:instrText>ADDIN CSL_CITATION {"citationItems":[{"id":"ITEM-1","itemData":{"DOI":"10.1016/j.anifeedsci.2018.01.010","ISSN":"03778401","abstract":"An experiment was conducted to esti- mate the true ileal digestibility of P in wheat, sorghum, soybean meal, and corn distiller’s dried grains with solubles (DDGS) in broiler chickens. Four semipurified diets were formulated from each ingredient (wheat and sorghum: 236.5, 473, 709.5, and 946 g/kg; soybean meal and corn DDGS: 135, 270, 405, and 540 g/kg) to contain graded concentrations of nonphytate P. The experiment was conducted as a randomized complete block design with 4 weight blocks of 16 cages each (5 birds per cage). A total of 320 21-d-old broilers (Ross 308) were assigned to the 16 test diets with 4 replicates per diet. Apparent ileal digestibility coefficients of P were deter- mined by the indicator method and the linear regression method was used to determine the true P digestibility coefficients. The results showed that the apparent ileal P digestibility coefficients of wheat-based diets were not influenced (P &gt; 0.05) by increasing dietary P concentra- tions, whereas those of diets based on sorghum, soybean meal, and corn DDGS differed (P &lt; 0.05) at different P concentrations. Apparent ileal P digestibility in broilers fed diets with soybean meal and corn DDGS linearly (P &lt; 0.001) increased with increasing P concentrations. True ileal P digestibility coefficients of wheat, sorghum, soybean meal, and corn DDGS were determined to be 0.464, 0.331, 0.798, and 0.727, respectively. Ileal endogenous P losses in birds fed diets with wheat, soy- bean meal, and corn DDGS were estimated to be 0.080, 0.609, and 0.418 g/kg DMI, respectively. In birds fed sorghum-based diets, endogenous P losses were esti- mated to be negative (–0.087 g/kg DMI). True digest- ible P contents of wheat, sorghum, soybean meal, and corn DDGS were determined to be 1.49, 0.78, 5.16, and 5.94 g/kg, respectively. The corresponding nonphytate P contents in wheat, sorghum, soybean meal, and corn DDGS were 1.11, 0.55, 2.15, and 4.36 g/kg, respectively. These differences between digestible P and nonphytate P contents may be suggestive, at least in part, of over- estimation of P digestibility under the calcium-deficient conditions used in the regression method. Key words: broilers, nonphytate, phosphorus, regression method, true digestibility","author":[{"dropping-particle":"","family":"Mutucumarana","given":"R. K.","non-dropping-particle":"","parse-names":false,"suffix":""},{"dropping-particle":"","family":"Ravindran","given":"V.","non-dropping-particle":"","parse-names":false,"suffix":""},{"dropping-particle":"","family":"Ravindran","given":"G.","non-dropping-particle":"","parse-names":false,"suffix":""},{"dropping-particle":"","family":"Cowieson","given":"A. J.","non-dropping-particle":"","parse-names":false,"suffix":""}],"container-title":"American Society of Animal Science","id":"ITEM-1","issued":{"date-parts":[["2014"]]},"page":"5520-5529","title":"Measurement of true ileal digestibility of phosphorus in some feed ingredients for broiler chickens","type":"article-journal","volume":"92"},"uris":["http://www.mendeley.com/documents/?uuid=43b3d840-fe94-4dbf-bf8c-375389e62553"]}],"mendeley":{"formattedCitation":"(Mutucumarana et al. 2014)","manualFormatting":"(Mutucumaranata et al., 2014)","plainTextFormattedCitation":"(Mutucumarana et al. 2014)","previouslyFormattedCitation":"(Mutucumarana et al., 2014)"},"properties":{"noteIndex":0},"schema":"https://github.com/citation-style-language/schema/raw/master/csl-citation.json"}</w:instrText>
      </w:r>
      <w:r w:rsidR="00382493" w:rsidRPr="00E747A2">
        <w:rPr>
          <w:i/>
          <w:color w:val="auto"/>
        </w:rPr>
        <w:fldChar w:fldCharType="separate"/>
      </w:r>
      <w:r w:rsidR="00215D34" w:rsidRPr="00E747A2">
        <w:rPr>
          <w:noProof/>
          <w:color w:val="auto"/>
        </w:rPr>
        <w:t>(Mutucumarana</w:t>
      </w:r>
      <w:r w:rsidR="0047343C" w:rsidRPr="00E747A2">
        <w:rPr>
          <w:noProof/>
          <w:color w:val="auto"/>
        </w:rPr>
        <w:t>ta</w:t>
      </w:r>
      <w:r w:rsidR="00AB3728" w:rsidRPr="00E747A2">
        <w:rPr>
          <w:noProof/>
          <w:color w:val="auto"/>
        </w:rPr>
        <w:t xml:space="preserve"> </w:t>
      </w:r>
      <w:r w:rsidR="003811D3" w:rsidRPr="00E747A2">
        <w:rPr>
          <w:noProof/>
          <w:color w:val="auto"/>
        </w:rPr>
        <w:t>et al.</w:t>
      </w:r>
      <w:r w:rsidR="00AB3728" w:rsidRPr="00E747A2">
        <w:rPr>
          <w:noProof/>
          <w:color w:val="auto"/>
        </w:rPr>
        <w:t>, 2014)</w:t>
      </w:r>
      <w:r w:rsidR="00382493" w:rsidRPr="00E747A2">
        <w:rPr>
          <w:i/>
          <w:color w:val="auto"/>
        </w:rPr>
        <w:fldChar w:fldCharType="end"/>
      </w:r>
      <w:r w:rsidR="00993B29" w:rsidRPr="00E747A2">
        <w:rPr>
          <w:color w:val="auto"/>
        </w:rPr>
        <w:t xml:space="preserve"> at ileal level, but lower </w:t>
      </w:r>
      <w:r w:rsidR="007F429F" w:rsidRPr="00E747A2">
        <w:rPr>
          <w:color w:val="auto"/>
        </w:rPr>
        <w:t>compared to</w:t>
      </w:r>
      <w:r w:rsidR="00993B29" w:rsidRPr="00E747A2">
        <w:rPr>
          <w:color w:val="auto"/>
        </w:rPr>
        <w:t xml:space="preserve"> the </w:t>
      </w:r>
      <w:r w:rsidR="007F429F" w:rsidRPr="00E747A2">
        <w:rPr>
          <w:color w:val="auto"/>
        </w:rPr>
        <w:t>report by</w:t>
      </w:r>
      <w:r w:rsidR="00993B29" w:rsidRPr="00E747A2">
        <w:rPr>
          <w:color w:val="auto"/>
        </w:rPr>
        <w:t xml:space="preserve"> </w:t>
      </w:r>
      <w:r w:rsidR="00382493" w:rsidRPr="00E747A2">
        <w:rPr>
          <w:i/>
          <w:color w:val="auto"/>
        </w:rPr>
        <w:fldChar w:fldCharType="begin" w:fldLock="1"/>
      </w:r>
      <w:r w:rsidR="000877D7">
        <w:rPr>
          <w:color w:val="auto"/>
        </w:rPr>
        <w:instrText>ADDIN CSL_CITATION {"citationItems":[{"id":"ITEM-1","itemData":{"author":[{"dropping-particle":"","family":"Dilger","given":"R N","non-dropping-particle":"","parse-names":false,"suffix":""},{"dropping-particle":"","family":"Adeola","given":"O","non-dropping-particle":"","parse-names":false,"suffix":""}],"container-title":"Poultry Science","id":"ITEM-1","issue":"November","issued":{"date-parts":[["2006"]]},"page":"661-668","title":"Estimation of true phosphorus digestibility and endogenous phosphorus loss in growing chicks fed conventional and low-phytate soybean meals","type":"article-journal","volume":"85"},"uris":["http://www.mendeley.com/documents/?uuid=2cfbe1a6-a07d-42ae-8842-d9f19aec0f5b"]}],"mendeley":{"formattedCitation":"(R N Dilger and Adeola 2006)","manualFormatting":"Dilger and Adeola (2006a)","plainTextFormattedCitation":"(R N Dilger and Adeola 2006)","previouslyFormattedCitation":"(R N Dilger and Adeola, 2006)"},"properties":{"noteIndex":0},"schema":"https://github.com/citation-style-language/schema/raw/master/csl-citation.json"}</w:instrText>
      </w:r>
      <w:r w:rsidR="00382493" w:rsidRPr="00E747A2">
        <w:rPr>
          <w:i/>
          <w:color w:val="auto"/>
        </w:rPr>
        <w:fldChar w:fldCharType="separate"/>
      </w:r>
      <w:r w:rsidR="007F429F" w:rsidRPr="00E747A2">
        <w:rPr>
          <w:noProof/>
          <w:color w:val="auto"/>
        </w:rPr>
        <w:t>Dilger and Adeola (2006a)</w:t>
      </w:r>
      <w:r w:rsidR="00382493" w:rsidRPr="00E747A2">
        <w:rPr>
          <w:i/>
          <w:color w:val="auto"/>
        </w:rPr>
        <w:fldChar w:fldCharType="end"/>
      </w:r>
      <w:r w:rsidR="007F429F" w:rsidRPr="00E747A2">
        <w:rPr>
          <w:color w:val="auto"/>
        </w:rPr>
        <w:t xml:space="preserve"> who showed a range value</w:t>
      </w:r>
      <w:r w:rsidR="00993B29" w:rsidRPr="00E747A2">
        <w:rPr>
          <w:color w:val="auto"/>
        </w:rPr>
        <w:t xml:space="preserve"> from 71.2 to 88.8%  and from 64 to 90% </w:t>
      </w:r>
      <w:r w:rsidR="00382493" w:rsidRPr="00E747A2">
        <w:rPr>
          <w:i/>
          <w:color w:val="auto"/>
        </w:rPr>
        <w:fldChar w:fldCharType="begin" w:fldLock="1"/>
      </w:r>
      <w:r w:rsidR="000877D7">
        <w:rPr>
          <w:color w:val="auto"/>
        </w:rPr>
        <w:instrText>ADDIN CSL_CITATION {"citationItems":[{"id":"ITEM-1","itemData":{"author":[{"dropping-particle":"","family":"Liu","given":"J B","non-dropping-particle":"","parse-names":false,"suffix":""},{"dropping-particle":"","family":"Chen","given":"D W","non-dropping-particle":"","parse-names":false,"suffix":""},{"dropping-particle":"","family":"Adeola","given":"O","non-dropping-particle":"","parse-names":false,"suffix":""}],"container-title":"Poultry Science","id":"ITEM-1","issued":{"date-parts":[["2013"]]},"page":"1572-1578","title":"Phosphorus digestibility response of broiler chickens to dietary calcium-to-phosphorus ratios","type":"article-journal","volume":"92"},"uris":["http://www.mendeley.com/documents/?uuid=6c0cbce5-3439-4183-8f28-645f80324b2d"]}],"mendeley":{"formattedCitation":"(Liu, Chen, and Adeola 2013)","manualFormatting":"(Liu et al., 2013)","plainTextFormattedCitation":"(Liu, Chen, and Adeola 2013)","previouslyFormattedCitation":"(Liu et al., 2013)"},"properties":{"noteIndex":0},"schema":"https://github.com/citation-style-language/schema/raw/master/csl-citation.json"}</w:instrText>
      </w:r>
      <w:r w:rsidR="00382493" w:rsidRPr="00E747A2">
        <w:rPr>
          <w:i/>
          <w:color w:val="auto"/>
        </w:rPr>
        <w:fldChar w:fldCharType="separate"/>
      </w:r>
      <w:r w:rsidR="00934EC4" w:rsidRPr="00E747A2">
        <w:rPr>
          <w:noProof/>
          <w:color w:val="auto"/>
        </w:rPr>
        <w:t>(</w:t>
      </w:r>
      <w:r w:rsidR="00215D34" w:rsidRPr="00E747A2">
        <w:rPr>
          <w:noProof/>
          <w:color w:val="auto"/>
        </w:rPr>
        <w:t>Liu</w:t>
      </w:r>
      <w:r w:rsidR="00A00EEC" w:rsidRPr="00E747A2">
        <w:rPr>
          <w:noProof/>
          <w:color w:val="auto"/>
        </w:rPr>
        <w:t xml:space="preserve"> et al.</w:t>
      </w:r>
      <w:r w:rsidR="00AB3728" w:rsidRPr="00E747A2">
        <w:rPr>
          <w:noProof/>
          <w:color w:val="auto"/>
        </w:rPr>
        <w:t>, 2013)</w:t>
      </w:r>
      <w:r w:rsidR="00382493" w:rsidRPr="00E747A2">
        <w:rPr>
          <w:i/>
          <w:color w:val="auto"/>
        </w:rPr>
        <w:fldChar w:fldCharType="end"/>
      </w:r>
      <w:r w:rsidR="00993B29" w:rsidRPr="00E747A2">
        <w:rPr>
          <w:color w:val="auto"/>
        </w:rPr>
        <w:t>. Similarly</w:t>
      </w:r>
      <w:r w:rsidR="00FD26DB" w:rsidRPr="00E747A2">
        <w:rPr>
          <w:color w:val="auto"/>
        </w:rPr>
        <w:t>,</w:t>
      </w:r>
      <w:r w:rsidR="00993B29" w:rsidRPr="00E747A2">
        <w:rPr>
          <w:color w:val="auto"/>
        </w:rPr>
        <w:t xml:space="preserve"> the true availability of P in SBM (53.90%) was </w:t>
      </w:r>
      <w:r w:rsidR="000E1099" w:rsidRPr="00E747A2">
        <w:rPr>
          <w:color w:val="auto"/>
        </w:rPr>
        <w:t xml:space="preserve">slightly </w:t>
      </w:r>
      <w:r w:rsidR="00993B29" w:rsidRPr="00E747A2">
        <w:rPr>
          <w:color w:val="auto"/>
        </w:rPr>
        <w:t xml:space="preserve">lower than the </w:t>
      </w:r>
      <w:r w:rsidR="007F429F" w:rsidRPr="00E747A2">
        <w:rPr>
          <w:color w:val="auto"/>
        </w:rPr>
        <w:t>values observed in the existing literature who reported a data</w:t>
      </w:r>
      <w:r w:rsidR="00993B29" w:rsidRPr="00E747A2">
        <w:rPr>
          <w:color w:val="auto"/>
        </w:rPr>
        <w:t xml:space="preserve"> of 59 % </w:t>
      </w:r>
      <w:r w:rsidR="00382493" w:rsidRPr="00E747A2">
        <w:rPr>
          <w:i/>
          <w:color w:val="auto"/>
        </w:rPr>
        <w:fldChar w:fldCharType="begin" w:fldLock="1"/>
      </w:r>
      <w:r w:rsidR="000877D7">
        <w:rPr>
          <w:color w:val="auto"/>
        </w:rPr>
        <w:instrText>ADDIN CSL_CITATION {"citationItems":[{"id":"ITEM-1","itemData":{"author":[{"dropping-particle":"","family":"Rutherfurd","given":"S.M.","non-dropping-particle":"","parse-names":false,"suffix":""},{"dropping-particle":"","family":"Chung","given":"T.K.","non-dropping-particle":"","parse-names":false,"suffix":""},{"dropping-particle":"","family":"Moughan","given":"P.J.","non-dropping-particle":"","parse-names":false,"suffix":""}],"container-title":"British Poultry Science","id":"ITEM-1","issued":{"date-parts":[["2002"]]},"page":"598-606","title":"The effect of microbial phytase on ileal phosphorus and amino acid digestibility in the broiler chicken","type":"article-journal","volume":"44"},"uris":["http://www.mendeley.com/documents/?uuid=52150ef8-f81b-4e16-9e32-976b8c57bbe7"]}],"mendeley":{"formattedCitation":"(Rutherfurd, Chung, and Moughan 2002)","manualFormatting":"(Rutherfurd et al., 2002)","plainTextFormattedCitation":"(Rutherfurd, Chung, and Moughan 2002)","previouslyFormattedCitation":"(Rutherfurd et al., 2002)"},"properties":{"noteIndex":0},"schema":"https://github.com/citation-style-language/schema/raw/master/csl-citation.json"}</w:instrText>
      </w:r>
      <w:r w:rsidR="00382493" w:rsidRPr="00E747A2">
        <w:rPr>
          <w:i/>
          <w:color w:val="auto"/>
        </w:rPr>
        <w:fldChar w:fldCharType="separate"/>
      </w:r>
      <w:r w:rsidR="00215D34" w:rsidRPr="00E747A2">
        <w:rPr>
          <w:noProof/>
          <w:color w:val="auto"/>
        </w:rPr>
        <w:t>(Rutherfurd</w:t>
      </w:r>
      <w:r w:rsidR="000C5804" w:rsidRPr="00E747A2">
        <w:rPr>
          <w:noProof/>
          <w:color w:val="auto"/>
        </w:rPr>
        <w:t xml:space="preserve"> et al.</w:t>
      </w:r>
      <w:r w:rsidR="00AB3728" w:rsidRPr="00E747A2">
        <w:rPr>
          <w:noProof/>
          <w:color w:val="auto"/>
        </w:rPr>
        <w:t>, 2002)</w:t>
      </w:r>
      <w:r w:rsidR="00382493" w:rsidRPr="00E747A2">
        <w:rPr>
          <w:i/>
          <w:color w:val="auto"/>
        </w:rPr>
        <w:fldChar w:fldCharType="end"/>
      </w:r>
      <w:r w:rsidR="00993B29" w:rsidRPr="00E747A2">
        <w:rPr>
          <w:color w:val="auto"/>
        </w:rPr>
        <w:t xml:space="preserve">, </w:t>
      </w:r>
      <w:r w:rsidR="000E1099" w:rsidRPr="00E747A2">
        <w:rPr>
          <w:color w:val="auto"/>
        </w:rPr>
        <w:t>59.8</w:t>
      </w:r>
      <w:r w:rsidR="00993B29" w:rsidRPr="00E747A2">
        <w:rPr>
          <w:color w:val="auto"/>
        </w:rPr>
        <w:t xml:space="preserve">% </w:t>
      </w:r>
      <w:r w:rsidR="00382493" w:rsidRPr="00E747A2">
        <w:rPr>
          <w:i/>
          <w:color w:val="auto"/>
        </w:rPr>
        <w:fldChar w:fldCharType="begin" w:fldLock="1"/>
      </w:r>
      <w:r w:rsidR="000877D7">
        <w:rPr>
          <w:color w:val="auto"/>
        </w:rPr>
        <w:instrText>ADDIN CSL_CITATION {"citationItems":[{"id":"ITEM-1","itemData":{"author":[{"dropping-particle":"","family":"Dilger","given":"R N","non-dropping-particle":"","parse-names":false,"suffix":""},{"dropping-particle":"","family":"Adeola","given":"O","non-dropping-particle":"","parse-names":false,"suffix":""}],"container-title":"Poultry Science","id":"ITEM-1","issue":"November","issued":{"date-parts":[["2006"]]},"page":"661-668","title":"Estimation of true phosphorus digestibility and endogenous phosphorus loss in growing chicks fed conventional and low-phytate soybean meals","type":"article-journal","volume":"85"},"uris":["http://www.mendeley.com/documents/?uuid=2cfbe1a6-a07d-42ae-8842-d9f19aec0f5b"]}],"mendeley":{"formattedCitation":"(R N Dilger and Adeola 2006)","manualFormatting":"(Dilger and Adeola 2006a)","plainTextFormattedCitation":"(R N Dilger and Adeola 2006)","previouslyFormattedCitation":"(R N Dilger and Adeola, 2006)"},"properties":{"noteIndex":0},"schema":"https://github.com/citation-style-language/schema/raw/master/csl-citation.json"}</w:instrText>
      </w:r>
      <w:r w:rsidR="00382493" w:rsidRPr="00E747A2">
        <w:rPr>
          <w:i/>
          <w:color w:val="auto"/>
        </w:rPr>
        <w:fldChar w:fldCharType="separate"/>
      </w:r>
      <w:r w:rsidR="00C33554" w:rsidRPr="00E747A2">
        <w:rPr>
          <w:noProof/>
          <w:color w:val="auto"/>
        </w:rPr>
        <w:t>(</w:t>
      </w:r>
      <w:r w:rsidR="00A00EEC" w:rsidRPr="00E747A2">
        <w:rPr>
          <w:noProof/>
          <w:color w:val="auto"/>
        </w:rPr>
        <w:t>Dilger and Adeola 2006</w:t>
      </w:r>
      <w:r w:rsidR="00C33554" w:rsidRPr="00E747A2">
        <w:rPr>
          <w:noProof/>
          <w:color w:val="auto"/>
        </w:rPr>
        <w:t>a</w:t>
      </w:r>
      <w:r w:rsidR="00A00EEC" w:rsidRPr="00E747A2">
        <w:rPr>
          <w:noProof/>
          <w:color w:val="auto"/>
        </w:rPr>
        <w:t>)</w:t>
      </w:r>
      <w:r w:rsidR="00382493" w:rsidRPr="00E747A2">
        <w:rPr>
          <w:i/>
          <w:color w:val="auto"/>
        </w:rPr>
        <w:fldChar w:fldCharType="end"/>
      </w:r>
      <w:r w:rsidR="00993B29" w:rsidRPr="00E747A2">
        <w:rPr>
          <w:color w:val="auto"/>
        </w:rPr>
        <w:t>. The determined apparent availability of P in canola meal (</w:t>
      </w:r>
      <w:r w:rsidR="00F441AB" w:rsidRPr="00E747A2">
        <w:rPr>
          <w:color w:val="auto"/>
        </w:rPr>
        <w:t>50.95</w:t>
      </w:r>
      <w:r w:rsidR="00993B29" w:rsidRPr="00E747A2">
        <w:rPr>
          <w:color w:val="auto"/>
        </w:rPr>
        <w:t>%) was in</w:t>
      </w:r>
      <w:r w:rsidR="00F441AB" w:rsidRPr="00E747A2">
        <w:rPr>
          <w:color w:val="auto"/>
        </w:rPr>
        <w:t xml:space="preserve"> close agreement with</w:t>
      </w:r>
      <w:r w:rsidR="00993B29" w:rsidRPr="00E747A2">
        <w:rPr>
          <w:color w:val="auto"/>
        </w:rPr>
        <w:t xml:space="preserve"> the ranged value of 51.2-67.9% </w:t>
      </w:r>
      <w:r w:rsidR="007F429F" w:rsidRPr="00E747A2">
        <w:rPr>
          <w:color w:val="auto"/>
        </w:rPr>
        <w:t>(</w:t>
      </w:r>
      <w:r w:rsidR="00382493" w:rsidRPr="00E747A2">
        <w:rPr>
          <w:i/>
          <w:color w:val="auto"/>
        </w:rPr>
        <w:fldChar w:fldCharType="begin" w:fldLock="1"/>
      </w:r>
      <w:r w:rsidR="005122A2">
        <w:rPr>
          <w:color w:val="auto"/>
        </w:rPr>
        <w:instrText>ADDIN CSL_CITATION {"citationItems":[{"id":"ITEM-1","itemData":{"DOI":"10.1016/j.anifeedsci.2018.01.010","ISSN":"03778401","abstract":"An experiment was conducted to esti- mate the true ileal digestibility of P in wheat, sorghum, soybean meal, and corn distiller’s dried grains with solubles (DDGS) in broiler chickens. Four semipurified diets were formulated from each ingredient (wheat and sorghum: 236.5, 473, 709.5, and 946 g/kg; soybean meal and corn DDGS: 135, 270, 405, and 540 g/kg) to contain graded concentrations of nonphytate P. The experiment was conducted as a randomized complete block design with 4 weight blocks of 16 cages each (5 birds per cage). A total of 320 21-d-old broilers (Ross 308) were assigned to the 16 test diets with 4 replicates per diet. Apparent ileal digestibility coefficients of P were deter- mined by the indicator method and the linear regression method was used to determine the true P digestibility coefficients. The results showed that the apparent ileal P digestibility coefficients of wheat-based diets were not influenced (P &gt; 0.05) by increasing dietary P concentra- tions, whereas those of diets based on sorghum, soybean meal, and corn DDGS differed (P &lt; 0.05) at different P concentrations. Apparent ileal P digestibility in broilers fed diets with soybean meal and corn DDGS linearly (P &lt; 0.001) increased with increasing P concentrations. True ileal P digestibility coefficients of wheat, sorghum, soybean meal, and corn DDGS were determined to be 0.464, 0.331, 0.798, and 0.727, respectively. Ileal endogenous P losses in birds fed diets with wheat, soy- bean meal, and corn DDGS were estimated to be 0.080, 0.609, and 0.418 g/kg DMI, respectively. In birds fed sorghum-based diets, endogenous P losses were esti- mated to be negative (–0.087 g/kg DMI). True digest- ible P contents of wheat, sorghum, soybean meal, and corn DDGS were determined to be 1.49, 0.78, 5.16, and 5.94 g/kg, respectively. The corresponding nonphytate P contents in wheat, sorghum, soybean meal, and corn DDGS were 1.11, 0.55, 2.15, and 4.36 g/kg, respectively. These differences between digestible P and nonphytate P contents may be suggestive, at least in part, of over- estimation of P digestibility under the calcium-deficient conditions used in the regression method. Key words: broilers, nonphytate, phosphorus, regression method, true digestibility","author":[{"dropping-particle":"","family":"Mutucumarana","given":"R. K.","non-dropping-particle":"","parse-names":false,"suffix":""},{"dropping-particle":"","family":"Ravindran","given":"V.","non-dropping-particle":"","parse-names":false,"suffix":""},{"dropping-particle":"","family":"Ravindran","given":"G.","non-dropping-particle":"","parse-names":false,"suffix":""},{"dropping-particle":"","family":"Cowieson","given":"A. J.","non-dropping-particle":"","parse-names":false,"suffix":""}],"container-title":"American Society of Animal Science","id":"ITEM-1","issued":{"date-parts":[["2014"]]},"page":"5520-5529","title":"Measurement of true ileal digestibility of phosphorus in some feed ingredients for broiler chickens","type":"article-journal","volume":"92"},"uris":["http://www.mendeley.com/documents/?uuid=43b3d840-fe94-4dbf-bf8c-375389e62553"]}],"mendeley":{"formattedCitation":"(Mutucumarana et al. 2014)","manualFormatting":"Mutucumarana et al., 2014)","plainTextFormattedCitation":"(Mutucumarana et al. 2014)","previouslyFormattedCitation":"(Mutucumarana et al., 2014)"},"properties":{"noteIndex":0},"schema":"https://github.com/citation-style-language/schema/raw/master/csl-citation.json"}</w:instrText>
      </w:r>
      <w:r w:rsidR="00382493" w:rsidRPr="00E747A2">
        <w:rPr>
          <w:i/>
          <w:color w:val="auto"/>
        </w:rPr>
        <w:fldChar w:fldCharType="separate"/>
      </w:r>
      <w:r w:rsidR="00E071A9" w:rsidRPr="00E747A2">
        <w:rPr>
          <w:noProof/>
          <w:color w:val="auto"/>
        </w:rPr>
        <w:t>Mutucumarana</w:t>
      </w:r>
      <w:r w:rsidR="007F429F" w:rsidRPr="00E747A2">
        <w:rPr>
          <w:noProof/>
          <w:color w:val="auto"/>
        </w:rPr>
        <w:t xml:space="preserve"> et al., </w:t>
      </w:r>
      <w:r w:rsidR="00AB3728" w:rsidRPr="00E747A2">
        <w:rPr>
          <w:noProof/>
          <w:color w:val="auto"/>
        </w:rPr>
        <w:t>2014)</w:t>
      </w:r>
      <w:r w:rsidR="00382493" w:rsidRPr="00E747A2">
        <w:rPr>
          <w:i/>
          <w:color w:val="auto"/>
        </w:rPr>
        <w:fldChar w:fldCharType="end"/>
      </w:r>
      <w:r w:rsidR="00993B29" w:rsidRPr="00E747A2">
        <w:rPr>
          <w:color w:val="auto"/>
        </w:rPr>
        <w:t xml:space="preserve">. </w:t>
      </w:r>
      <w:r w:rsidR="007F429F" w:rsidRPr="00E747A2">
        <w:rPr>
          <w:color w:val="auto"/>
        </w:rPr>
        <w:t>The</w:t>
      </w:r>
      <w:r w:rsidR="000E1099" w:rsidRPr="00E747A2">
        <w:rPr>
          <w:color w:val="auto"/>
        </w:rPr>
        <w:t xml:space="preserve"> true availability of P in wheat grain (</w:t>
      </w:r>
      <w:r w:rsidR="00F441AB" w:rsidRPr="00E747A2">
        <w:rPr>
          <w:color w:val="auto"/>
        </w:rPr>
        <w:t>36.77</w:t>
      </w:r>
      <w:r w:rsidR="000E1099" w:rsidRPr="00E747A2">
        <w:rPr>
          <w:color w:val="auto"/>
        </w:rPr>
        <w:t xml:space="preserve">%) </w:t>
      </w:r>
      <w:r w:rsidR="006E5686" w:rsidRPr="00E747A2">
        <w:rPr>
          <w:color w:val="auto"/>
        </w:rPr>
        <w:t xml:space="preserve">fed to broilers </w:t>
      </w:r>
      <w:r w:rsidR="00401A58" w:rsidRPr="00E747A2">
        <w:rPr>
          <w:color w:val="auto"/>
        </w:rPr>
        <w:t>is</w:t>
      </w:r>
      <w:r w:rsidR="006E5686" w:rsidRPr="00E747A2">
        <w:rPr>
          <w:color w:val="auto"/>
        </w:rPr>
        <w:t xml:space="preserve"> lower </w:t>
      </w:r>
      <w:r w:rsidR="00401A58" w:rsidRPr="00E747A2">
        <w:rPr>
          <w:color w:val="auto"/>
        </w:rPr>
        <w:t>compare to</w:t>
      </w:r>
      <w:r w:rsidR="006E5686" w:rsidRPr="00E747A2">
        <w:rPr>
          <w:color w:val="auto"/>
        </w:rPr>
        <w:t xml:space="preserve"> </w:t>
      </w:r>
      <w:r w:rsidR="00382493" w:rsidRPr="00E747A2">
        <w:rPr>
          <w:i/>
          <w:color w:val="auto"/>
        </w:rPr>
        <w:fldChar w:fldCharType="begin" w:fldLock="1"/>
      </w:r>
      <w:r w:rsidR="000877D7">
        <w:rPr>
          <w:color w:val="auto"/>
        </w:rPr>
        <w:instrText>ADDIN CSL_CITATION {"citationItems":[{"id":"ITEM-1","itemData":{"author":[{"dropping-particle":"","family":"Rutherfurd","given":"S.M.","non-dropping-particle":"","parse-names":false,"suffix":""},{"dropping-particle":"","family":"Chung","given":"T.K.","non-dropping-particle":"","parse-names":false,"suffix":""},{"dropping-particle":"","family":"Moughan","given":"P.J.","non-dropping-particle":"","parse-names":false,"suffix":""}],"container-title":"British Poultry Science","id":"ITEM-1","issued":{"date-parts":[["2002"]]},"page":"598-606","title":"The effect of microbial phytase on ileal phosphorus and amino acid digestibility in the broiler chicken","type":"article-journal","volume":"44"},"uris":["http://www.mendeley.com/documents/?uuid=52150ef8-f81b-4e16-9e32-976b8c57bbe7"]}],"mendeley":{"formattedCitation":"(Rutherfurd et al. 2002)","manualFormatting":"Rutherfurd et al. (2002)","plainTextFormattedCitation":"(Rutherfurd et al. 2002)","previouslyFormattedCitation":"(Rutherfurd et al., 2002)"},"properties":{"noteIndex":0},"schema":"https://github.com/citation-style-language/schema/raw/master/csl-citation.json"}</w:instrText>
      </w:r>
      <w:r w:rsidR="00382493" w:rsidRPr="00E747A2">
        <w:rPr>
          <w:i/>
          <w:color w:val="auto"/>
        </w:rPr>
        <w:fldChar w:fldCharType="separate"/>
      </w:r>
      <w:r w:rsidR="00E071A9" w:rsidRPr="00E747A2">
        <w:rPr>
          <w:noProof/>
          <w:color w:val="auto"/>
        </w:rPr>
        <w:t>Rutherfurd et al.</w:t>
      </w:r>
      <w:r w:rsidR="00AB3728" w:rsidRPr="00E747A2">
        <w:rPr>
          <w:noProof/>
          <w:color w:val="auto"/>
        </w:rPr>
        <w:t xml:space="preserve"> </w:t>
      </w:r>
      <w:r w:rsidR="00E071A9" w:rsidRPr="00E747A2">
        <w:rPr>
          <w:noProof/>
          <w:color w:val="auto"/>
        </w:rPr>
        <w:t>(</w:t>
      </w:r>
      <w:r w:rsidR="00AB3728" w:rsidRPr="00E747A2">
        <w:rPr>
          <w:noProof/>
          <w:color w:val="auto"/>
        </w:rPr>
        <w:t>2002)</w:t>
      </w:r>
      <w:r w:rsidR="00382493" w:rsidRPr="00E747A2">
        <w:rPr>
          <w:i/>
          <w:color w:val="auto"/>
        </w:rPr>
        <w:fldChar w:fldCharType="end"/>
      </w:r>
      <w:r w:rsidR="006E5686" w:rsidRPr="00E747A2">
        <w:rPr>
          <w:color w:val="auto"/>
        </w:rPr>
        <w:t xml:space="preserve"> </w:t>
      </w:r>
      <w:r w:rsidR="000E1099" w:rsidRPr="00E747A2">
        <w:rPr>
          <w:color w:val="auto"/>
        </w:rPr>
        <w:t xml:space="preserve">and </w:t>
      </w:r>
      <w:r w:rsidR="00382493" w:rsidRPr="00E747A2">
        <w:rPr>
          <w:i/>
          <w:color w:val="auto"/>
        </w:rPr>
        <w:fldChar w:fldCharType="begin" w:fldLock="1"/>
      </w:r>
      <w:r w:rsidR="000877D7">
        <w:rPr>
          <w:color w:val="auto"/>
        </w:rPr>
        <w:instrText>ADDIN CSL_CITATION {"citationItems":[{"id":"ITEM-1","itemData":{"ISBN":"0032-5791","ISSN":"00325791","PMID":"10472841","abstract":"In order to accurately formulate diets for broilers and laying hens to meet phosphorus requirements without overfeeding, precise knowledge of an individual feed ingredient's contribution to the retainable phosphorus is needed. Seven feed ingredients, included as the sole source of phosphorus, were tested with and without the addition of 600 phytase units (FTU) phytase/kg diet, in a 5-d bioassay with 10 22-d-old male broilers. Without addition of phytase, the amounts of phytate phosphorus hydrolyzed in corn, soybean meal, wheat, wheat midds, barley, defatted rice bran, and canola were 30.8, 34.9, 30.7, 29.1, 32.2, 33.2, and 36.7%, respectively. The addition of phytase increased (P &lt; or = 0.05) each value to 59.0, 72.4, 46.8, 52.2, 71.3, 48.0, and 55.8%, respectively. The addition of phytase increased total phosphorus retention from 34.8, 27.0, 16.0, 31.9, 40.3, 15.5, and 39.4% to 40.9, 58.0, 33.8, 43.4, 55.5, 26.5, and 45.7%, respectively. A similar bioassay was conducted with laying hens fed corn, soybean meal, and defatted rice bran. Without phytase addition, phytate phosphorus hydrolyzed in soybean meal, corn, and rice bran was determined to be 25.7, 23.0, and 36.1%, respectively, and was increased (P &lt; or = 0.05) to 62.4, 52.0, and 50.9%, respectively, with the addition of 300 FTU phytase/kg feed. Total phosphorus retention of soybean meal, corn, and rice bran increased from 36.8, 28.6, and 35.9% to 53.4, 44.7, and 43.0%, respectively, with the addition of phytase.","author":[{"dropping-particle":"","family":"Leske","given":"K. L.","non-dropping-particle":"","parse-names":false,"suffix":""},{"dropping-particle":"","family":"Coon","given":"C. N.","non-dropping-particle":"","parse-names":false,"suffix":""}],"container-title":"Poultry Science","id":"ITEM-1","issue":"8","issued":{"date-parts":[["1999"]]},"page":"1151-1157","title":"A bioassay to determine the effect of phytase on phytate phosphorus hydrolysis and total phosphorus retention of feed ingredients as determined with broilers and laying hens","type":"article-journal","volume":"78"},"uris":["http://www.mendeley.com/documents/?uuid=655a5955-da91-4720-a5ba-c71bf5821e78"]}],"mendeley":{"formattedCitation":"(Leske and Coon 1999)","manualFormatting":"Leske and Coon (1999)","plainTextFormattedCitation":"(Leske and Coon 1999)","previouslyFormattedCitation":"(Leske and Coon, 1999)"},"properties":{"noteIndex":0},"schema":"https://github.com/citation-style-language/schema/raw/master/csl-citation.json"}</w:instrText>
      </w:r>
      <w:r w:rsidR="00382493" w:rsidRPr="00E747A2">
        <w:rPr>
          <w:i/>
          <w:color w:val="auto"/>
        </w:rPr>
        <w:fldChar w:fldCharType="separate"/>
      </w:r>
      <w:r w:rsidR="00BB27AA" w:rsidRPr="00E747A2">
        <w:rPr>
          <w:noProof/>
          <w:color w:val="auto"/>
        </w:rPr>
        <w:t>Leske and</w:t>
      </w:r>
      <w:r w:rsidR="00E071A9" w:rsidRPr="00E747A2">
        <w:rPr>
          <w:noProof/>
          <w:color w:val="auto"/>
        </w:rPr>
        <w:t xml:space="preserve"> Coon</w:t>
      </w:r>
      <w:r w:rsidR="00AB3728" w:rsidRPr="00E747A2">
        <w:rPr>
          <w:noProof/>
          <w:color w:val="auto"/>
        </w:rPr>
        <w:t xml:space="preserve"> </w:t>
      </w:r>
      <w:r w:rsidR="00E071A9" w:rsidRPr="00E747A2">
        <w:rPr>
          <w:noProof/>
          <w:color w:val="auto"/>
        </w:rPr>
        <w:t>(</w:t>
      </w:r>
      <w:r w:rsidR="00AB3728" w:rsidRPr="00E747A2">
        <w:rPr>
          <w:noProof/>
          <w:color w:val="auto"/>
        </w:rPr>
        <w:t>1999)</w:t>
      </w:r>
      <w:r w:rsidR="00382493" w:rsidRPr="00E747A2">
        <w:rPr>
          <w:i/>
          <w:color w:val="auto"/>
        </w:rPr>
        <w:fldChar w:fldCharType="end"/>
      </w:r>
      <w:r w:rsidR="00B74492" w:rsidRPr="00E747A2">
        <w:rPr>
          <w:color w:val="auto"/>
        </w:rPr>
        <w:t xml:space="preserve"> for </w:t>
      </w:r>
      <w:r w:rsidR="000E1099" w:rsidRPr="00E747A2">
        <w:rPr>
          <w:color w:val="auto"/>
        </w:rPr>
        <w:t>wheat midd</w:t>
      </w:r>
      <w:r w:rsidR="006E5686" w:rsidRPr="00E747A2">
        <w:rPr>
          <w:color w:val="auto"/>
        </w:rPr>
        <w:t>l</w:t>
      </w:r>
      <w:r w:rsidR="000E1099" w:rsidRPr="00E747A2">
        <w:rPr>
          <w:color w:val="auto"/>
        </w:rPr>
        <w:t>ing</w:t>
      </w:r>
      <w:r w:rsidR="003F2975" w:rsidRPr="00E747A2">
        <w:rPr>
          <w:color w:val="auto"/>
        </w:rPr>
        <w:t xml:space="preserve"> </w:t>
      </w:r>
      <w:r w:rsidR="000E1099" w:rsidRPr="00E747A2">
        <w:rPr>
          <w:color w:val="auto"/>
        </w:rPr>
        <w:t>(</w:t>
      </w:r>
      <w:r w:rsidR="00F441AB" w:rsidRPr="00E747A2">
        <w:rPr>
          <w:color w:val="auto"/>
        </w:rPr>
        <w:t>36.95</w:t>
      </w:r>
      <w:r w:rsidR="000E1099" w:rsidRPr="00E747A2">
        <w:rPr>
          <w:color w:val="auto"/>
        </w:rPr>
        <w:t>%).</w:t>
      </w:r>
      <w:r w:rsidR="003F2975" w:rsidRPr="00E747A2">
        <w:rPr>
          <w:color w:val="auto"/>
        </w:rPr>
        <w:t xml:space="preserve"> </w:t>
      </w:r>
      <w:r w:rsidR="00401A58" w:rsidRPr="00E747A2">
        <w:rPr>
          <w:color w:val="auto"/>
        </w:rPr>
        <w:t>A h</w:t>
      </w:r>
      <w:r w:rsidR="00993B29" w:rsidRPr="00E747A2">
        <w:rPr>
          <w:color w:val="auto"/>
        </w:rPr>
        <w:t xml:space="preserve">igher value of </w:t>
      </w:r>
      <w:r w:rsidR="000A0D57" w:rsidRPr="00E747A2">
        <w:rPr>
          <w:color w:val="auto"/>
        </w:rPr>
        <w:t>true</w:t>
      </w:r>
      <w:r w:rsidR="003F2975" w:rsidRPr="00E747A2">
        <w:rPr>
          <w:color w:val="auto"/>
        </w:rPr>
        <w:t xml:space="preserve"> </w:t>
      </w:r>
      <w:r w:rsidR="000A0D57" w:rsidRPr="00E747A2">
        <w:rPr>
          <w:color w:val="auto"/>
        </w:rPr>
        <w:t xml:space="preserve">availability </w:t>
      </w:r>
      <w:r w:rsidR="00993B29" w:rsidRPr="00E747A2">
        <w:rPr>
          <w:color w:val="auto"/>
        </w:rPr>
        <w:t>of P</w:t>
      </w:r>
      <w:r w:rsidR="00C7300E" w:rsidRPr="00E747A2">
        <w:rPr>
          <w:color w:val="auto"/>
        </w:rPr>
        <w:t xml:space="preserve"> (</w:t>
      </w:r>
      <w:r w:rsidR="000A0D57" w:rsidRPr="00E747A2">
        <w:rPr>
          <w:color w:val="auto"/>
        </w:rPr>
        <w:t>74%</w:t>
      </w:r>
      <w:r w:rsidR="00C7300E" w:rsidRPr="00E747A2">
        <w:rPr>
          <w:color w:val="auto"/>
        </w:rPr>
        <w:t>)</w:t>
      </w:r>
      <w:r w:rsidR="00993B29" w:rsidRPr="00E747A2">
        <w:rPr>
          <w:color w:val="auto"/>
        </w:rPr>
        <w:t xml:space="preserve"> in peanut </w:t>
      </w:r>
      <w:r w:rsidR="00796444" w:rsidRPr="00E747A2">
        <w:rPr>
          <w:color w:val="auto"/>
        </w:rPr>
        <w:t>flour</w:t>
      </w:r>
      <w:r w:rsidR="00993B29" w:rsidRPr="00E747A2">
        <w:rPr>
          <w:color w:val="auto"/>
        </w:rPr>
        <w:t xml:space="preserve"> was reported by </w:t>
      </w:r>
      <w:r w:rsidR="00382493" w:rsidRPr="00E747A2">
        <w:rPr>
          <w:i/>
          <w:color w:val="auto"/>
        </w:rPr>
        <w:fldChar w:fldCharType="begin" w:fldLock="1"/>
      </w:r>
      <w:r w:rsidR="000877D7">
        <w:rPr>
          <w:color w:val="auto"/>
        </w:rPr>
        <w:instrText>ADDIN CSL_CITATION {"citationItems":[{"id":"ITEM-1","itemData":{"author":[{"dropping-particle":"","family":"Iyayi","given":"E A","non-dropping-particle":"","parse-names":false,"suffix":""},{"dropping-particle":"","family":"Adeola","given":"O","non-dropping-particle":"","parse-names":false,"suffix":""}],"container-title":"Poultry Science","id":"ITEM-1","issue":"2009","issued":{"date-parts":[["2013"]]},"page":"1595-1603","title":"True phosphorus digestibility of black-eyed pea and peanut flour without or with phytase supplementation in broiler chickens","type":"article-journal","volume":"92"},"uris":["http://www.mendeley.com/documents/?uuid=fff32900-7671-47b4-b923-33dc6b53362f"]}],"mendeley":{"formattedCitation":"(Iyayi and Adeola 2013)","manualFormatting":"Iyayi and Adeola (2013)","plainTextFormattedCitation":"(Iyayi and Adeola 2013)","previouslyFormattedCitation":"(Iyayi and Adeola, 2013)"},"properties":{"noteIndex":0},"schema":"https://github.com/citation-style-language/schema/raw/master/csl-citation.json"}</w:instrText>
      </w:r>
      <w:r w:rsidR="00382493" w:rsidRPr="00E747A2">
        <w:rPr>
          <w:i/>
          <w:color w:val="auto"/>
        </w:rPr>
        <w:fldChar w:fldCharType="separate"/>
      </w:r>
      <w:r w:rsidR="00BB27AA" w:rsidRPr="00E747A2">
        <w:rPr>
          <w:noProof/>
          <w:color w:val="auto"/>
        </w:rPr>
        <w:t>Iyayi and</w:t>
      </w:r>
      <w:r w:rsidR="00E071A9" w:rsidRPr="00E747A2">
        <w:rPr>
          <w:noProof/>
          <w:color w:val="auto"/>
        </w:rPr>
        <w:t xml:space="preserve"> Adeola</w:t>
      </w:r>
      <w:r w:rsidR="00AB3728" w:rsidRPr="00E747A2">
        <w:rPr>
          <w:noProof/>
          <w:color w:val="auto"/>
        </w:rPr>
        <w:t xml:space="preserve"> </w:t>
      </w:r>
      <w:r w:rsidR="00E071A9" w:rsidRPr="00E747A2">
        <w:rPr>
          <w:noProof/>
          <w:color w:val="auto"/>
        </w:rPr>
        <w:t>(</w:t>
      </w:r>
      <w:r w:rsidR="00AB3728" w:rsidRPr="00E747A2">
        <w:rPr>
          <w:noProof/>
          <w:color w:val="auto"/>
        </w:rPr>
        <w:t>2013)</w:t>
      </w:r>
      <w:r w:rsidR="00382493" w:rsidRPr="00E747A2">
        <w:rPr>
          <w:i/>
          <w:color w:val="auto"/>
        </w:rPr>
        <w:fldChar w:fldCharType="end"/>
      </w:r>
      <w:r w:rsidR="00993B29" w:rsidRPr="00E747A2">
        <w:rPr>
          <w:color w:val="auto"/>
        </w:rPr>
        <w:t xml:space="preserve"> compared to </w:t>
      </w:r>
      <w:r w:rsidR="00401A58" w:rsidRPr="00E747A2">
        <w:rPr>
          <w:color w:val="auto"/>
        </w:rPr>
        <w:t>this</w:t>
      </w:r>
      <w:r w:rsidR="00993B29" w:rsidRPr="00E747A2">
        <w:rPr>
          <w:color w:val="auto"/>
        </w:rPr>
        <w:t xml:space="preserve"> study</w:t>
      </w:r>
      <w:r w:rsidR="00D35405" w:rsidRPr="00E747A2">
        <w:rPr>
          <w:color w:val="auto"/>
        </w:rPr>
        <w:t xml:space="preserve"> </w:t>
      </w:r>
      <w:r w:rsidR="00026DCB" w:rsidRPr="00E747A2">
        <w:rPr>
          <w:color w:val="auto"/>
        </w:rPr>
        <w:t>(</w:t>
      </w:r>
      <w:r w:rsidR="00C7300E" w:rsidRPr="00E747A2">
        <w:rPr>
          <w:color w:val="auto"/>
        </w:rPr>
        <w:t>42.76%</w:t>
      </w:r>
      <w:r w:rsidR="00026DCB" w:rsidRPr="00E747A2">
        <w:rPr>
          <w:color w:val="auto"/>
        </w:rPr>
        <w:t>)</w:t>
      </w:r>
      <w:r w:rsidR="00993B29" w:rsidRPr="00E747A2">
        <w:rPr>
          <w:color w:val="auto"/>
        </w:rPr>
        <w:t xml:space="preserve">. </w:t>
      </w:r>
      <w:r w:rsidR="00401A58" w:rsidRPr="00E747A2">
        <w:rPr>
          <w:color w:val="auto"/>
        </w:rPr>
        <w:t>As to the knowledge of the authors, t</w:t>
      </w:r>
      <w:r w:rsidR="000A0D57" w:rsidRPr="00E747A2">
        <w:rPr>
          <w:color w:val="auto"/>
        </w:rPr>
        <w:t xml:space="preserve">here is no </w:t>
      </w:r>
      <w:r w:rsidR="00401A58" w:rsidRPr="00E747A2">
        <w:rPr>
          <w:color w:val="auto"/>
        </w:rPr>
        <w:t>any previous study</w:t>
      </w:r>
      <w:r w:rsidR="000A0D57" w:rsidRPr="00E747A2">
        <w:rPr>
          <w:color w:val="auto"/>
        </w:rPr>
        <w:t xml:space="preserve"> </w:t>
      </w:r>
      <w:r w:rsidR="00882830" w:rsidRPr="00E747A2">
        <w:rPr>
          <w:color w:val="auto"/>
        </w:rPr>
        <w:t xml:space="preserve">about availability of P in </w:t>
      </w:r>
      <w:r w:rsidR="00A74C06" w:rsidRPr="00E747A2">
        <w:rPr>
          <w:color w:val="auto"/>
        </w:rPr>
        <w:t>corn DDGS</w:t>
      </w:r>
      <w:r w:rsidR="000A0D57" w:rsidRPr="00E747A2">
        <w:rPr>
          <w:color w:val="auto"/>
        </w:rPr>
        <w:t xml:space="preserve"> except </w:t>
      </w:r>
      <w:r w:rsidR="00EF5C35" w:rsidRPr="00E747A2">
        <w:rPr>
          <w:color w:val="auto"/>
        </w:rPr>
        <w:t>true ileal</w:t>
      </w:r>
      <w:r w:rsidR="003F2975" w:rsidRPr="00E747A2">
        <w:rPr>
          <w:color w:val="auto"/>
        </w:rPr>
        <w:t xml:space="preserve"> </w:t>
      </w:r>
      <w:r w:rsidR="00EF5C35" w:rsidRPr="00E747A2">
        <w:rPr>
          <w:color w:val="auto"/>
        </w:rPr>
        <w:t>P</w:t>
      </w:r>
      <w:r w:rsidR="003F2975" w:rsidRPr="00E747A2">
        <w:rPr>
          <w:color w:val="auto"/>
        </w:rPr>
        <w:t xml:space="preserve"> </w:t>
      </w:r>
      <w:r w:rsidR="00EF5C35" w:rsidRPr="00E747A2">
        <w:rPr>
          <w:color w:val="auto"/>
        </w:rPr>
        <w:t xml:space="preserve">digestibility of </w:t>
      </w:r>
      <w:r w:rsidR="00495101" w:rsidRPr="00E747A2">
        <w:rPr>
          <w:color w:val="auto"/>
        </w:rPr>
        <w:t>“</w:t>
      </w:r>
      <w:r w:rsidR="00EF5C35" w:rsidRPr="00E747A2">
        <w:rPr>
          <w:color w:val="auto"/>
        </w:rPr>
        <w:t>72.7%</w:t>
      </w:r>
      <w:r w:rsidR="00495101" w:rsidRPr="00E747A2">
        <w:rPr>
          <w:color w:val="auto"/>
        </w:rPr>
        <w:t>”</w:t>
      </w:r>
      <w:r w:rsidR="00EF5C35" w:rsidRPr="00E747A2">
        <w:rPr>
          <w:color w:val="auto"/>
        </w:rPr>
        <w:t xml:space="preserve"> reported in broilers by </w:t>
      </w:r>
      <w:r w:rsidR="00382493" w:rsidRPr="00E747A2">
        <w:rPr>
          <w:i/>
          <w:color w:val="auto"/>
        </w:rPr>
        <w:fldChar w:fldCharType="begin" w:fldLock="1"/>
      </w:r>
      <w:r w:rsidR="000877D7">
        <w:rPr>
          <w:color w:val="auto"/>
        </w:rPr>
        <w:instrText>ADDIN CSL_CITATION {"citationItems":[{"id":"ITEM-1","itemData":{"author":[{"dropping-particle":"","family":"Mutucumarana R. K.","given":"","non-dropping-particle":"","parse-names":false,"suffix":""}],"id":"ITEM-1","issued":{"date-parts":[["2014"]]},"number-of-pages":"1-208","publisher":"Massey Universtity, Palmerston North, New Zealand","title":"Measurment of true ileal phosphorus digestibility in feed ingredients for poultry [dissertation].","type":"thesis"},"uris":["http://www.mendeley.com/documents/?uuid=aa3a01d4-6929-42c4-949a-3d4d314fb519"]}],"mendeley":{"formattedCitation":"(Mutucumarana R. K. 2014)","manualFormatting":"Mutucumaranata (2014)","plainTextFormattedCitation":"(Mutucumarana R. K. 2014)","previouslyFormattedCitation":"(Mutucumarana R. K., 2014)"},"properties":{"noteIndex":0},"schema":"https://github.com/citation-style-language/schema/raw/master/csl-citation.json"}</w:instrText>
      </w:r>
      <w:r w:rsidR="00382493" w:rsidRPr="00E747A2">
        <w:rPr>
          <w:i/>
          <w:color w:val="auto"/>
        </w:rPr>
        <w:fldChar w:fldCharType="separate"/>
      </w:r>
      <w:r w:rsidR="00E071A9" w:rsidRPr="00E747A2">
        <w:rPr>
          <w:noProof/>
          <w:color w:val="auto"/>
        </w:rPr>
        <w:t>Mutucumaranata</w:t>
      </w:r>
      <w:r w:rsidR="00AB3728" w:rsidRPr="00E747A2">
        <w:rPr>
          <w:noProof/>
          <w:color w:val="auto"/>
        </w:rPr>
        <w:t xml:space="preserve"> </w:t>
      </w:r>
      <w:r w:rsidR="00E071A9" w:rsidRPr="00E747A2">
        <w:rPr>
          <w:noProof/>
          <w:color w:val="auto"/>
        </w:rPr>
        <w:t>(</w:t>
      </w:r>
      <w:r w:rsidR="00AB3728" w:rsidRPr="00E747A2">
        <w:rPr>
          <w:noProof/>
          <w:color w:val="auto"/>
        </w:rPr>
        <w:t>2014)</w:t>
      </w:r>
      <w:r w:rsidR="00382493" w:rsidRPr="00E747A2">
        <w:rPr>
          <w:i/>
          <w:color w:val="auto"/>
        </w:rPr>
        <w:fldChar w:fldCharType="end"/>
      </w:r>
      <w:r w:rsidR="00EF5C35" w:rsidRPr="00E747A2">
        <w:rPr>
          <w:color w:val="auto"/>
        </w:rPr>
        <w:t xml:space="preserve">, which is higher than our result of true </w:t>
      </w:r>
      <w:r w:rsidR="00401A58" w:rsidRPr="00E747A2">
        <w:rPr>
          <w:color w:val="auto"/>
        </w:rPr>
        <w:t xml:space="preserve">P </w:t>
      </w:r>
      <w:r w:rsidR="00EF5C35" w:rsidRPr="00E747A2">
        <w:rPr>
          <w:color w:val="auto"/>
        </w:rPr>
        <w:t>availability (5</w:t>
      </w:r>
      <w:r w:rsidR="009F3A5F" w:rsidRPr="00E747A2">
        <w:rPr>
          <w:color w:val="auto"/>
        </w:rPr>
        <w:t>4.51</w:t>
      </w:r>
      <w:r w:rsidR="00EF5C35" w:rsidRPr="00E747A2">
        <w:rPr>
          <w:color w:val="auto"/>
        </w:rPr>
        <w:t xml:space="preserve">%). </w:t>
      </w:r>
      <w:r w:rsidR="00622908" w:rsidRPr="00E747A2">
        <w:rPr>
          <w:color w:val="auto"/>
        </w:rPr>
        <w:t xml:space="preserve">The availability of plant P is variable in different studies for the fact that the variation of endogenous plant phytase activity, phytate P, and the undergone technological process of the diets </w:t>
      </w:r>
      <w:r w:rsidR="00382493" w:rsidRPr="00E747A2">
        <w:rPr>
          <w:i/>
          <w:color w:val="auto"/>
        </w:rPr>
        <w:fldChar w:fldCharType="begin" w:fldLock="1"/>
      </w:r>
      <w:r w:rsidR="000877D7">
        <w:rPr>
          <w:color w:val="auto"/>
        </w:rPr>
        <w:instrText>ADDIN CSL_CITATION {"citationItems":[{"id":"ITEM-1","itemData":{"ISBN":"9789076998411","author":[{"dropping-particle":"","family":"Sauvant","given":"D","non-dropping-particle":"","parse-names":false,"suffix":""},{"dropping-particle":"","family":"Perez","given":"J","non-dropping-particle":"","parse-names":false,"suffix":""},{"dropping-particle":"","family":"Tran","given":"G","non-dropping-particle":"","parse-names":false,"suffix":""}],"id":"ITEM-1","issued":{"date-parts":[["2004"]]},"number-of-pages":"1-305","title":"Tables of composition and nutritional value of feed materials","type":"book"},"uris":["http://www.mendeley.com/documents/?uuid=490b06d4-c9fb-43c7-abc2-fdee72607120"]}],"mendeley":{"formattedCitation":"(Sauvant, Perez, and Tran 2004)","manualFormatting":"(Sauvant et al., 2004)","plainTextFormattedCitation":"(Sauvant, Perez, and Tran 2004)","previouslyFormattedCitation":"(Sauvant et al., 2004)"},"properties":{"noteIndex":0},"schema":"https://github.com/citation-style-language/schema/raw/master/csl-citation.json"}</w:instrText>
      </w:r>
      <w:r w:rsidR="00382493" w:rsidRPr="00E747A2">
        <w:rPr>
          <w:i/>
          <w:color w:val="auto"/>
        </w:rPr>
        <w:fldChar w:fldCharType="separate"/>
      </w:r>
      <w:r w:rsidR="00215D34" w:rsidRPr="00E747A2">
        <w:rPr>
          <w:noProof/>
          <w:color w:val="auto"/>
        </w:rPr>
        <w:t>(Sauvant</w:t>
      </w:r>
      <w:r w:rsidR="000C5804" w:rsidRPr="00E747A2">
        <w:rPr>
          <w:noProof/>
          <w:color w:val="auto"/>
        </w:rPr>
        <w:t xml:space="preserve"> et al.</w:t>
      </w:r>
      <w:r w:rsidR="00AB3728" w:rsidRPr="00E747A2">
        <w:rPr>
          <w:noProof/>
          <w:color w:val="auto"/>
        </w:rPr>
        <w:t>, 2004)</w:t>
      </w:r>
      <w:r w:rsidR="00382493" w:rsidRPr="00E747A2">
        <w:rPr>
          <w:i/>
          <w:color w:val="auto"/>
        </w:rPr>
        <w:fldChar w:fldCharType="end"/>
      </w:r>
      <w:r w:rsidR="00BF57FF" w:rsidRPr="00E747A2">
        <w:rPr>
          <w:color w:val="auto"/>
        </w:rPr>
        <w:t xml:space="preserve">. </w:t>
      </w:r>
    </w:p>
    <w:p w:rsidR="006B19A2" w:rsidRPr="00E747A2" w:rsidRDefault="009725E0" w:rsidP="00BE2D61">
      <w:pPr>
        <w:pStyle w:val="Heading2"/>
        <w:numPr>
          <w:ilvl w:val="1"/>
          <w:numId w:val="30"/>
        </w:numPr>
        <w:tabs>
          <w:tab w:val="left" w:pos="360"/>
          <w:tab w:val="left" w:pos="540"/>
        </w:tabs>
        <w:spacing w:before="0" w:line="480" w:lineRule="auto"/>
        <w:ind w:left="540" w:hanging="540"/>
        <w:rPr>
          <w:rFonts w:ascii="Times New Roman" w:hAnsi="Times New Roman" w:cs="Times New Roman"/>
          <w:color w:val="auto"/>
          <w:sz w:val="24"/>
          <w:szCs w:val="24"/>
        </w:rPr>
      </w:pPr>
      <w:r w:rsidRPr="00E747A2">
        <w:rPr>
          <w:rFonts w:ascii="Times New Roman" w:hAnsi="Times New Roman" w:cs="Times New Roman"/>
          <w:color w:val="auto"/>
          <w:sz w:val="24"/>
          <w:szCs w:val="24"/>
        </w:rPr>
        <w:t xml:space="preserve"> </w:t>
      </w:r>
      <w:r w:rsidR="00185340" w:rsidRPr="00E747A2">
        <w:rPr>
          <w:rFonts w:ascii="Times New Roman" w:hAnsi="Times New Roman" w:cs="Times New Roman"/>
          <w:color w:val="auto"/>
          <w:sz w:val="24"/>
          <w:szCs w:val="24"/>
        </w:rPr>
        <w:t>Effect</w:t>
      </w:r>
      <w:r w:rsidR="00F04EBD" w:rsidRPr="00E747A2">
        <w:rPr>
          <w:rFonts w:ascii="Times New Roman" w:hAnsi="Times New Roman" w:cs="Times New Roman"/>
          <w:color w:val="auto"/>
          <w:sz w:val="24"/>
          <w:szCs w:val="24"/>
        </w:rPr>
        <w:t xml:space="preserve"> </w:t>
      </w:r>
      <w:r w:rsidR="00E53C3F" w:rsidRPr="00E747A2">
        <w:rPr>
          <w:rFonts w:ascii="Times New Roman" w:hAnsi="Times New Roman" w:cs="Times New Roman"/>
          <w:color w:val="auto"/>
          <w:sz w:val="24"/>
          <w:szCs w:val="24"/>
        </w:rPr>
        <w:t>and phosphorus e</w:t>
      </w:r>
      <w:r w:rsidR="001C1BBC" w:rsidRPr="00E747A2">
        <w:rPr>
          <w:rFonts w:ascii="Times New Roman" w:hAnsi="Times New Roman" w:cs="Times New Roman"/>
          <w:color w:val="auto"/>
          <w:sz w:val="24"/>
          <w:szCs w:val="24"/>
        </w:rPr>
        <w:t>quivalency o</w:t>
      </w:r>
      <w:r w:rsidR="00E53C3F" w:rsidRPr="00E747A2">
        <w:rPr>
          <w:rFonts w:ascii="Times New Roman" w:hAnsi="Times New Roman" w:cs="Times New Roman"/>
          <w:color w:val="auto"/>
          <w:sz w:val="24"/>
          <w:szCs w:val="24"/>
        </w:rPr>
        <w:t>f p</w:t>
      </w:r>
      <w:r w:rsidR="001C1BBC" w:rsidRPr="00E747A2">
        <w:rPr>
          <w:rFonts w:ascii="Times New Roman" w:hAnsi="Times New Roman" w:cs="Times New Roman"/>
          <w:color w:val="auto"/>
          <w:sz w:val="24"/>
          <w:szCs w:val="24"/>
        </w:rPr>
        <w:t>hytase</w:t>
      </w:r>
    </w:p>
    <w:p w:rsidR="005B0F12" w:rsidRPr="00E747A2" w:rsidRDefault="00986495" w:rsidP="000E696E">
      <w:pPr>
        <w:spacing w:line="480" w:lineRule="auto"/>
        <w:rPr>
          <w:color w:val="auto"/>
          <w:szCs w:val="24"/>
        </w:rPr>
      </w:pPr>
      <w:r w:rsidRPr="00E747A2">
        <w:rPr>
          <w:color w:val="auto"/>
          <w:szCs w:val="24"/>
        </w:rPr>
        <w:t xml:space="preserve">In order to facilitate the application of phytase and compare the efficiency of different phytase products, </w:t>
      </w:r>
      <w:r w:rsidR="00401A58" w:rsidRPr="00E747A2">
        <w:rPr>
          <w:color w:val="auto"/>
          <w:szCs w:val="24"/>
        </w:rPr>
        <w:t>researchers have been trying to establish</w:t>
      </w:r>
      <w:r w:rsidRPr="00E747A2">
        <w:rPr>
          <w:color w:val="auto"/>
          <w:szCs w:val="24"/>
        </w:rPr>
        <w:t xml:space="preserve"> the equivalent relationship between phytase and inorganic phosph</w:t>
      </w:r>
      <w:r w:rsidR="00572437" w:rsidRPr="00E747A2">
        <w:rPr>
          <w:color w:val="auto"/>
          <w:szCs w:val="24"/>
        </w:rPr>
        <w:t>orus (available phosphorus)</w:t>
      </w:r>
      <w:r w:rsidR="00847E8A" w:rsidRPr="00E747A2">
        <w:rPr>
          <w:color w:val="auto"/>
          <w:szCs w:val="24"/>
        </w:rPr>
        <w:t xml:space="preserve"> in </w:t>
      </w:r>
      <w:r w:rsidR="004505C5" w:rsidRPr="00E747A2">
        <w:rPr>
          <w:color w:val="auto"/>
          <w:szCs w:val="24"/>
        </w:rPr>
        <w:t>spite of the possible differential</w:t>
      </w:r>
      <w:r w:rsidR="00847E8A" w:rsidRPr="00E747A2">
        <w:rPr>
          <w:color w:val="auto"/>
          <w:szCs w:val="24"/>
        </w:rPr>
        <w:t xml:space="preserve"> effect of phytase on different ingredients. </w:t>
      </w:r>
      <w:r w:rsidR="00401A58" w:rsidRPr="00E747A2">
        <w:rPr>
          <w:color w:val="auto"/>
          <w:szCs w:val="24"/>
        </w:rPr>
        <w:t>The finding of this study</w:t>
      </w:r>
      <w:r w:rsidRPr="00E747A2">
        <w:rPr>
          <w:color w:val="auto"/>
          <w:szCs w:val="24"/>
        </w:rPr>
        <w:t xml:space="preserve"> </w:t>
      </w:r>
      <w:r w:rsidR="00847E8A" w:rsidRPr="00E747A2">
        <w:rPr>
          <w:color w:val="auto"/>
          <w:szCs w:val="24"/>
        </w:rPr>
        <w:t>confirmed</w:t>
      </w:r>
      <w:r w:rsidRPr="00E747A2">
        <w:rPr>
          <w:color w:val="auto"/>
          <w:szCs w:val="24"/>
        </w:rPr>
        <w:t xml:space="preserve"> that </w:t>
      </w:r>
      <w:r w:rsidRPr="00E747A2">
        <w:rPr>
          <w:color w:val="auto"/>
          <w:szCs w:val="24"/>
        </w:rPr>
        <w:lastRenderedPageBreak/>
        <w:t>the efficiency of phytase for different feed materials was very different. Phytase increased the availability of phosphorus in wheat and its by-products an</w:t>
      </w:r>
      <w:r w:rsidR="004505C5" w:rsidRPr="00E747A2">
        <w:rPr>
          <w:color w:val="auto"/>
          <w:szCs w:val="24"/>
        </w:rPr>
        <w:t>d soybean meal by more than 30%</w:t>
      </w:r>
      <w:r w:rsidRPr="00E747A2">
        <w:rPr>
          <w:color w:val="auto"/>
          <w:szCs w:val="24"/>
        </w:rPr>
        <w:t xml:space="preserve"> and had a significant effect on canola meal. But</w:t>
      </w:r>
      <w:r w:rsidR="00612E6A" w:rsidRPr="00E747A2">
        <w:rPr>
          <w:color w:val="auto"/>
          <w:szCs w:val="24"/>
        </w:rPr>
        <w:t>,</w:t>
      </w:r>
      <w:r w:rsidR="00557AC1" w:rsidRPr="00E747A2">
        <w:rPr>
          <w:color w:val="auto"/>
          <w:szCs w:val="24"/>
        </w:rPr>
        <w:t xml:space="preserve"> the phytase effect in</w:t>
      </w:r>
      <w:r w:rsidRPr="00E747A2">
        <w:rPr>
          <w:color w:val="auto"/>
          <w:szCs w:val="24"/>
        </w:rPr>
        <w:t xml:space="preserve"> </w:t>
      </w:r>
      <w:r w:rsidR="009F3A5F" w:rsidRPr="00E747A2">
        <w:rPr>
          <w:color w:val="auto"/>
          <w:szCs w:val="24"/>
        </w:rPr>
        <w:t xml:space="preserve">corn </w:t>
      </w:r>
      <w:r w:rsidR="00A74C06" w:rsidRPr="00E747A2">
        <w:rPr>
          <w:color w:val="auto"/>
          <w:szCs w:val="24"/>
        </w:rPr>
        <w:t>DDGS</w:t>
      </w:r>
      <w:r w:rsidR="00612E6A" w:rsidRPr="00E747A2">
        <w:rPr>
          <w:color w:val="auto"/>
          <w:szCs w:val="24"/>
        </w:rPr>
        <w:t xml:space="preserve"> and peanut meal </w:t>
      </w:r>
      <w:r w:rsidR="00557AC1" w:rsidRPr="00E747A2">
        <w:rPr>
          <w:color w:val="auto"/>
          <w:szCs w:val="24"/>
        </w:rPr>
        <w:t>was</w:t>
      </w:r>
      <w:r w:rsidRPr="00E747A2">
        <w:rPr>
          <w:color w:val="auto"/>
          <w:szCs w:val="24"/>
        </w:rPr>
        <w:t xml:space="preserve"> </w:t>
      </w:r>
      <w:r w:rsidR="00E60E89" w:rsidRPr="00E747A2">
        <w:rPr>
          <w:color w:val="auto"/>
          <w:szCs w:val="24"/>
        </w:rPr>
        <w:t xml:space="preserve">very </w:t>
      </w:r>
      <w:r w:rsidRPr="00E747A2">
        <w:rPr>
          <w:color w:val="auto"/>
          <w:szCs w:val="24"/>
        </w:rPr>
        <w:t>limited</w:t>
      </w:r>
      <w:r w:rsidR="00801756" w:rsidRPr="00E747A2">
        <w:rPr>
          <w:color w:val="auto"/>
          <w:szCs w:val="24"/>
        </w:rPr>
        <w:t xml:space="preserve">. The result of peanut meal </w:t>
      </w:r>
      <w:r w:rsidR="00393017" w:rsidRPr="00E747A2">
        <w:rPr>
          <w:color w:val="auto"/>
          <w:szCs w:val="24"/>
        </w:rPr>
        <w:t xml:space="preserve">disagrees with the general knowledge that responses to phytase </w:t>
      </w:r>
      <w:r w:rsidR="004505C5" w:rsidRPr="00E747A2">
        <w:rPr>
          <w:color w:val="auto"/>
          <w:szCs w:val="24"/>
        </w:rPr>
        <w:t>could</w:t>
      </w:r>
      <w:r w:rsidR="00393017" w:rsidRPr="00E747A2">
        <w:rPr>
          <w:color w:val="auto"/>
          <w:szCs w:val="24"/>
        </w:rPr>
        <w:t xml:space="preserve"> be more pronounced with increasing dietary phytate levels </w:t>
      </w:r>
      <w:r w:rsidR="00382493" w:rsidRPr="00E747A2">
        <w:rPr>
          <w:color w:val="auto"/>
          <w:szCs w:val="24"/>
        </w:rPr>
        <w:fldChar w:fldCharType="begin" w:fldLock="1"/>
      </w:r>
      <w:r w:rsidR="000877D7">
        <w:rPr>
          <w:color w:val="auto"/>
          <w:szCs w:val="24"/>
        </w:rPr>
        <w:instrText>ADDIN CSL_CITATION {"citationItems":[{"id":"ITEM-1","itemData":{"DOI":"10.1071/EA02155","ISSN":"08161089","abstract":"A total of 160 samples of 20 Australian-sourced feed ingredients of plant origin for pigs and poultry was analysed for total phosphorus and phytate-phosphorus contents and endogenous phytase activity. The majority of total P was present as phytate-phosphorus, and these concentrations were significantly correlated in 9 feed ingredients. The endogenous phytase activity in tested feed ingredients was negligible other than for wheat, its by-products and barley. Phytate-phosphorus was determined by a standard 'ferric chloride precipitation' method, which was satisfactory for individual feed ingredients, with the exception of lupins and faba beans. It appears that phytate is more difficult to extract from these two feedstuffs, possibly because of the affinity of phytate for protein. Ferric chloride precipitation methods are not suitable for phytate-phosphorus determinations of complete feed samples containing other sources of phosphorus, which is a distinct limitation. A lesser limitation is that these methods cannot distinguish between the various esters of myo-inositol phosphate present. Given the variation of phytate contents within ingredients, particularly wheat, the desirability of determining dietary substrate levels is emphasised to take full advantage of including exogenous phytases in pig and poultry diets to reduce phosphorus excretion and abate phosphorus pollution.","author":[{"dropping-particle":"","family":"Selle","given":"P. H.","non-dropping-particle":"","parse-names":false,"suffix":""},{"dropping-particle":"","family":"Walker","given":"A. R.","non-dropping-particle":"","parse-names":false,"suffix":""},{"dropping-particle":"","family":"Bryden","given":"W. L.","non-dropping-particle":"","parse-names":false,"suffix":""}],"container-title":"Australian Journal of Experimental Agriculture","id":"ITEM-1","issue":"5","issued":{"date-parts":[["2003"]]},"page":"475-479","title":"Total and phytate-phosphorus contents and phytase activity of Australian-sourced feed ingredients for pigs and poultry","type":"article-journal","volume":"43"},"uris":["http://www.mendeley.com/documents/?uuid=db0c5af5-8ee8-4d96-aac5-69d74e824497"]}],"mendeley":{"formattedCitation":"(Selle et al. 2003)","manualFormatting":"(Selle et al., 2003)","plainTextFormattedCitation":"(Selle et al. 2003)","previouslyFormattedCitation":"(Selle et al., 2003)"},"properties":{"noteIndex":0},"schema":"https://github.com/citation-style-language/schema/raw/master/csl-citation.json"}</w:instrText>
      </w:r>
      <w:r w:rsidR="00382493" w:rsidRPr="00E747A2">
        <w:rPr>
          <w:color w:val="auto"/>
          <w:szCs w:val="24"/>
        </w:rPr>
        <w:fldChar w:fldCharType="separate"/>
      </w:r>
      <w:r w:rsidR="00BB056F" w:rsidRPr="00E747A2">
        <w:rPr>
          <w:noProof/>
          <w:color w:val="auto"/>
          <w:szCs w:val="24"/>
        </w:rPr>
        <w:t>(Selle et al., 2003)</w:t>
      </w:r>
      <w:r w:rsidR="00382493" w:rsidRPr="00E747A2">
        <w:rPr>
          <w:color w:val="auto"/>
          <w:szCs w:val="24"/>
        </w:rPr>
        <w:fldChar w:fldCharType="end"/>
      </w:r>
      <w:r w:rsidR="006740FC" w:rsidRPr="00E747A2">
        <w:rPr>
          <w:color w:val="auto"/>
          <w:szCs w:val="24"/>
        </w:rPr>
        <w:t>.</w:t>
      </w:r>
      <w:r w:rsidR="003F2975" w:rsidRPr="00E747A2">
        <w:rPr>
          <w:color w:val="auto"/>
          <w:szCs w:val="24"/>
        </w:rPr>
        <w:t xml:space="preserve"> </w:t>
      </w:r>
      <w:r w:rsidR="001327F2" w:rsidRPr="00E747A2">
        <w:rPr>
          <w:color w:val="auto"/>
          <w:szCs w:val="24"/>
        </w:rPr>
        <w:t>According</w:t>
      </w:r>
      <w:r w:rsidR="004505C5" w:rsidRPr="00E747A2">
        <w:rPr>
          <w:color w:val="auto"/>
          <w:szCs w:val="24"/>
        </w:rPr>
        <w:t xml:space="preserve"> to</w:t>
      </w:r>
      <w:r w:rsidR="00771AD3" w:rsidRPr="00E747A2">
        <w:rPr>
          <w:color w:val="auto"/>
          <w:szCs w:val="24"/>
        </w:rPr>
        <w:t xml:space="preserve"> </w:t>
      </w:r>
      <w:r w:rsidR="00E071A9" w:rsidRPr="00E747A2">
        <w:rPr>
          <w:color w:val="auto"/>
          <w:szCs w:val="24"/>
        </w:rPr>
        <w:t xml:space="preserve">report </w:t>
      </w:r>
      <w:r w:rsidR="00612E6A" w:rsidRPr="00E747A2">
        <w:rPr>
          <w:color w:val="auto"/>
          <w:szCs w:val="24"/>
        </w:rPr>
        <w:t xml:space="preserve">by </w:t>
      </w:r>
      <w:r w:rsidR="00382493" w:rsidRPr="00E747A2">
        <w:rPr>
          <w:color w:val="auto"/>
          <w:szCs w:val="24"/>
        </w:rPr>
        <w:fldChar w:fldCharType="begin" w:fldLock="1"/>
      </w:r>
      <w:r w:rsidR="000877D7">
        <w:rPr>
          <w:color w:val="auto"/>
          <w:szCs w:val="24"/>
        </w:rPr>
        <w:instrText>ADDIN CSL_CITATION {"citationItems":[{"id":"ITEM-1","itemData":{"abstract":"During the past decade, the inclusion of microbial phytase in poultry diets has increased remarkably, mainly in response to heightened concerns over phosphorus (P) pollution of the environment. The capacity of this feed enzyme to release phytate-bound P and reduce P excretion is now well documented. Effectively, phytase is an alternative, economical P source and, as global phosphate reserves are not renewable, this is beneficial to their preservation. Based on limited studies, it appears that exogenous phytase hydrolyses less than 0.35 of dietary phytate in broilers at the ileal level. If so, there is considerable scope to enhance phytate degradation by the introduction of more effective phytate-degrading enzymes or enzyme combinations, and facilitative nutritional and management strategies. Alternatively, dietary phytate concentrations may be reduced by the inclusion of selected, low-phytate feedstuffs or dephytinised feed ingredients. There is a distinct possibility that phytate negatively influences protein and energy utilisation in poultry and, as these influences would be ameliorated by phytase, there are substantial, practical implications. Nevertheless, there is still no consensus as to the extent that phytase enhances protein and energy utilisation. Responses in amino acid digestibilities following phytase supplementation are variable and the underlying mechanisms have not been completely understood; consequently, these two aspects are considered in detail in this review. The impact of phytase on protein and energy utilisation may be more positive than generally realised, but this should become increasingly evident if greater phytate degradation rates can be achieved. The experimental use of dephytinised feed ingredients may define the negative impact of phytate on protein and energy utilisation and facilitate the identification of the contributing factors, particularly in relation to energy utilisation. Some recent studies suggest that phytate increases, and phytase decreases, endogenous sodium losses. Although the basis for this phytate-induced shift of sodium into the gut lumen is not clear, it may have implications for acid-base homeostasis and intestinal uptakes of glucose and amino acids. If the momentum in the practical acceptance of microbial phytase in poultry diets continues, it is likely that phytase feed enzymes will re-define nutrient requirements, particularly in relation to P and calcium, and increasingly contribute to ecologicall…","author":[{"dropping-particle":"","family":"Selle","given":"P. H.","non-dropping-particle":"","parse-names":false,"suffix":""},{"dropping-particle":"","family":"Ravindran","given":"V.","non-dropping-particle":"","parse-names":false,"suffix":""}],"container-title":"Animal Feed Science and Technology","id":"ITEM-1","issue":"1-2","issued":{"date-parts":[["2007"]]},"page":"1-41","title":"Microbial phytase in poultry nutrition","type":"article-journal","volume":"135"},"uris":["http://www.mendeley.com/documents/?uuid=bd28d4d9-e2ea-44fe-a77f-c9b1b965d2ce"]}],"mendeley":{"formattedCitation":"(Selle and Ravindran 2007)","manualFormatting":"Selle and Ravindran (2007)","plainTextFormattedCitation":"(Selle and Ravindran 2007)","previouslyFormattedCitation":"(Selle and Ravindran, 2007)"},"properties":{"noteIndex":0},"schema":"https://github.com/citation-style-language/schema/raw/master/csl-citation.json"}</w:instrText>
      </w:r>
      <w:r w:rsidR="00382493" w:rsidRPr="00E747A2">
        <w:rPr>
          <w:color w:val="auto"/>
          <w:szCs w:val="24"/>
        </w:rPr>
        <w:fldChar w:fldCharType="separate"/>
      </w:r>
      <w:r w:rsidR="00BB27AA" w:rsidRPr="00E747A2">
        <w:rPr>
          <w:noProof/>
          <w:color w:val="auto"/>
          <w:szCs w:val="24"/>
        </w:rPr>
        <w:t>Selle and</w:t>
      </w:r>
      <w:r w:rsidR="00E071A9" w:rsidRPr="00E747A2">
        <w:rPr>
          <w:noProof/>
          <w:color w:val="auto"/>
          <w:szCs w:val="24"/>
        </w:rPr>
        <w:t xml:space="preserve"> Ravindran</w:t>
      </w:r>
      <w:r w:rsidR="00AB3728" w:rsidRPr="00E747A2">
        <w:rPr>
          <w:noProof/>
          <w:color w:val="auto"/>
          <w:szCs w:val="24"/>
        </w:rPr>
        <w:t xml:space="preserve"> </w:t>
      </w:r>
      <w:r w:rsidR="00E071A9" w:rsidRPr="00E747A2">
        <w:rPr>
          <w:noProof/>
          <w:color w:val="auto"/>
          <w:szCs w:val="24"/>
        </w:rPr>
        <w:t>(</w:t>
      </w:r>
      <w:r w:rsidR="00AB3728" w:rsidRPr="00E747A2">
        <w:rPr>
          <w:noProof/>
          <w:color w:val="auto"/>
          <w:szCs w:val="24"/>
        </w:rPr>
        <w:t>2007)</w:t>
      </w:r>
      <w:r w:rsidR="00382493" w:rsidRPr="00E747A2">
        <w:rPr>
          <w:color w:val="auto"/>
          <w:szCs w:val="24"/>
        </w:rPr>
        <w:fldChar w:fldCharType="end"/>
      </w:r>
      <w:r w:rsidR="004505C5" w:rsidRPr="00E747A2">
        <w:rPr>
          <w:color w:val="auto"/>
          <w:szCs w:val="24"/>
        </w:rPr>
        <w:t>,</w:t>
      </w:r>
      <w:r w:rsidR="001327F2" w:rsidRPr="00E747A2">
        <w:rPr>
          <w:color w:val="auto"/>
          <w:szCs w:val="24"/>
        </w:rPr>
        <w:t xml:space="preserve"> </w:t>
      </w:r>
      <w:r w:rsidR="00771AD3" w:rsidRPr="00E747A2">
        <w:rPr>
          <w:color w:val="auto"/>
          <w:szCs w:val="24"/>
        </w:rPr>
        <w:t xml:space="preserve">the microbial phytase phosphorus equivalency in poultry </w:t>
      </w:r>
      <w:r w:rsidR="0066524D" w:rsidRPr="00E747A2">
        <w:rPr>
          <w:color w:val="auto"/>
          <w:szCs w:val="24"/>
        </w:rPr>
        <w:t xml:space="preserve">diets </w:t>
      </w:r>
      <w:r w:rsidR="001327F2" w:rsidRPr="00E747A2">
        <w:rPr>
          <w:color w:val="auto"/>
          <w:szCs w:val="24"/>
        </w:rPr>
        <w:t>was</w:t>
      </w:r>
      <w:r w:rsidR="00771AD3" w:rsidRPr="00E747A2">
        <w:rPr>
          <w:color w:val="auto"/>
          <w:szCs w:val="24"/>
        </w:rPr>
        <w:t xml:space="preserve"> </w:t>
      </w:r>
      <w:r w:rsidR="0066524D" w:rsidRPr="00E747A2">
        <w:rPr>
          <w:color w:val="auto"/>
          <w:szCs w:val="24"/>
        </w:rPr>
        <w:t xml:space="preserve">found that the phosphorus equivalency of 1,000 FTU of different phytase was between </w:t>
      </w:r>
      <w:r w:rsidR="009A7269" w:rsidRPr="00E747A2">
        <w:rPr>
          <w:color w:val="auto"/>
          <w:szCs w:val="24"/>
        </w:rPr>
        <w:t>1</w:t>
      </w:r>
      <w:r w:rsidR="0066524D" w:rsidRPr="00E747A2">
        <w:rPr>
          <w:color w:val="auto"/>
          <w:szCs w:val="24"/>
        </w:rPr>
        <w:t>.</w:t>
      </w:r>
      <w:r w:rsidR="009A7269" w:rsidRPr="00E747A2">
        <w:rPr>
          <w:color w:val="auto"/>
          <w:szCs w:val="24"/>
        </w:rPr>
        <w:t>03</w:t>
      </w:r>
      <w:r w:rsidR="0066524D" w:rsidRPr="00E747A2">
        <w:rPr>
          <w:color w:val="auto"/>
          <w:szCs w:val="24"/>
        </w:rPr>
        <w:t xml:space="preserve"> and 2.5g</w:t>
      </w:r>
      <w:r w:rsidR="009A7269" w:rsidRPr="00E747A2">
        <w:rPr>
          <w:color w:val="auto"/>
          <w:szCs w:val="24"/>
        </w:rPr>
        <w:t xml:space="preserve"> for complete diets</w:t>
      </w:r>
      <w:r w:rsidR="0066524D" w:rsidRPr="00E747A2">
        <w:rPr>
          <w:color w:val="auto"/>
          <w:szCs w:val="24"/>
        </w:rPr>
        <w:t xml:space="preserve">, which was estimated based on broilers' growth, ash of toe or bone, and phosphorus retention. </w:t>
      </w:r>
      <w:r w:rsidR="00612E6A" w:rsidRPr="00E747A2">
        <w:rPr>
          <w:color w:val="auto"/>
          <w:szCs w:val="24"/>
        </w:rPr>
        <w:t>Noticeably</w:t>
      </w:r>
      <w:r w:rsidR="003964E8" w:rsidRPr="00E747A2">
        <w:rPr>
          <w:color w:val="auto"/>
          <w:szCs w:val="24"/>
        </w:rPr>
        <w:t xml:space="preserve">, the difference </w:t>
      </w:r>
      <w:r w:rsidR="004505C5" w:rsidRPr="00E747A2">
        <w:rPr>
          <w:color w:val="auto"/>
          <w:szCs w:val="24"/>
        </w:rPr>
        <w:t xml:space="preserve">in </w:t>
      </w:r>
      <w:r w:rsidR="003964E8" w:rsidRPr="00E747A2">
        <w:rPr>
          <w:color w:val="auto"/>
          <w:szCs w:val="24"/>
        </w:rPr>
        <w:t xml:space="preserve">dietary composition is an important reason for the large variation </w:t>
      </w:r>
      <w:r w:rsidR="008D0D0B" w:rsidRPr="00E747A2">
        <w:rPr>
          <w:color w:val="auto"/>
          <w:szCs w:val="24"/>
        </w:rPr>
        <w:t>of phytase phosphorus equivalency</w:t>
      </w:r>
      <w:r w:rsidR="003964E8" w:rsidRPr="00E747A2">
        <w:rPr>
          <w:color w:val="auto"/>
          <w:szCs w:val="24"/>
        </w:rPr>
        <w:t>.</w:t>
      </w:r>
      <w:r w:rsidR="003F2975" w:rsidRPr="00E747A2">
        <w:rPr>
          <w:color w:val="auto"/>
          <w:szCs w:val="24"/>
        </w:rPr>
        <w:t xml:space="preserve"> </w:t>
      </w:r>
      <w:r w:rsidR="003964E8" w:rsidRPr="00E747A2">
        <w:rPr>
          <w:color w:val="auto"/>
          <w:szCs w:val="24"/>
        </w:rPr>
        <w:t xml:space="preserve">In </w:t>
      </w:r>
      <w:r w:rsidR="00C10B93" w:rsidRPr="00E747A2">
        <w:rPr>
          <w:color w:val="auto"/>
          <w:szCs w:val="24"/>
        </w:rPr>
        <w:t>current finding</w:t>
      </w:r>
      <w:r w:rsidR="008D0D0B" w:rsidRPr="00E747A2">
        <w:rPr>
          <w:color w:val="auto"/>
          <w:szCs w:val="24"/>
        </w:rPr>
        <w:t>, the phosphorus equivalency</w:t>
      </w:r>
      <w:r w:rsidR="003964E8" w:rsidRPr="00E747A2">
        <w:rPr>
          <w:color w:val="auto"/>
          <w:szCs w:val="24"/>
        </w:rPr>
        <w:t xml:space="preserve"> of 1000 </w:t>
      </w:r>
      <w:r w:rsidR="008D0D0B" w:rsidRPr="00E747A2">
        <w:rPr>
          <w:color w:val="auto"/>
          <w:szCs w:val="24"/>
        </w:rPr>
        <w:t>FTU phytase in different feed ingredient</w:t>
      </w:r>
      <w:r w:rsidR="00503398" w:rsidRPr="00E747A2">
        <w:rPr>
          <w:color w:val="auto"/>
          <w:szCs w:val="24"/>
        </w:rPr>
        <w:t>s was measured as 0.</w:t>
      </w:r>
      <w:r w:rsidR="00931C7F" w:rsidRPr="00E747A2">
        <w:rPr>
          <w:color w:val="auto"/>
          <w:szCs w:val="24"/>
        </w:rPr>
        <w:t>4 - 1</w:t>
      </w:r>
      <w:r w:rsidR="00503398" w:rsidRPr="00E747A2">
        <w:rPr>
          <w:color w:val="auto"/>
          <w:szCs w:val="24"/>
        </w:rPr>
        <w:t>.3</w:t>
      </w:r>
      <w:r w:rsidR="003964E8" w:rsidRPr="00E747A2">
        <w:rPr>
          <w:color w:val="auto"/>
          <w:szCs w:val="24"/>
        </w:rPr>
        <w:t>g, of which the phosphorus equivalent in soybean meal was 1.0g, higher than the 0.87g measured by</w:t>
      </w:r>
      <w:r w:rsidR="00BB056F" w:rsidRPr="00E747A2">
        <w:rPr>
          <w:color w:val="auto"/>
          <w:szCs w:val="24"/>
        </w:rPr>
        <w:t xml:space="preserve"> </w:t>
      </w:r>
      <w:r w:rsidR="00382493" w:rsidRPr="00E747A2">
        <w:rPr>
          <w:color w:val="auto"/>
          <w:szCs w:val="24"/>
        </w:rPr>
        <w:fldChar w:fldCharType="begin" w:fldLock="1"/>
      </w:r>
      <w:r w:rsidR="000877D7">
        <w:rPr>
          <w:color w:val="auto"/>
          <w:szCs w:val="24"/>
        </w:rPr>
        <w:instrText>ADDIN CSL_CITATION {"citationItems":[{"id":"ITEM-1","itemData":{"author":[{"dropping-particle":"","family":"Yi","given":"Z","non-dropping-particle":"","parse-names":false,"suffix":""},{"dropping-particle":"","family":"Kornegay","given":"E T","non-dropping-particle":"","parse-names":false,"suffix":""},{"dropping-particle":"","family":"Denbow","given":"D M","non-dropping-particle":"","parse-names":false,"suffix":""}],"container-title":"Poultry Science","id":"ITEM-1","issued":{"date-parts":[["1996"]]},"page":"240-249","title":"Improving Phytate Phosphorus Availability in Corn and Soybean Meal for Broilers Using Microbial Phytase and Calculation of Phosphorus Equivalency Values for Phytase","type":"article-journal","volume":"75"},"uris":["http://www.mendeley.com/documents/?uuid=5c04148a-d00e-4a0b-8191-f3db2dbf6656"]}],"mendeley":{"formattedCitation":"(Yi, Kornegay, and Denbow 1996)","manualFormatting":"Yi et al. (1996)","plainTextFormattedCitation":"(Yi, Kornegay, and Denbow 1996)","previouslyFormattedCitation":"(Yi et al., 1996)"},"properties":{"noteIndex":0},"schema":"https://github.com/citation-style-language/schema/raw/master/csl-citation.json"}</w:instrText>
      </w:r>
      <w:r w:rsidR="00382493" w:rsidRPr="00E747A2">
        <w:rPr>
          <w:color w:val="auto"/>
          <w:szCs w:val="24"/>
        </w:rPr>
        <w:fldChar w:fldCharType="separate"/>
      </w:r>
      <w:r w:rsidR="00BB056F" w:rsidRPr="00E747A2">
        <w:rPr>
          <w:noProof/>
          <w:color w:val="auto"/>
          <w:szCs w:val="24"/>
        </w:rPr>
        <w:t>Yi et al.</w:t>
      </w:r>
      <w:r w:rsidR="00AB3728" w:rsidRPr="00E747A2">
        <w:rPr>
          <w:noProof/>
          <w:color w:val="auto"/>
          <w:szCs w:val="24"/>
        </w:rPr>
        <w:t xml:space="preserve"> </w:t>
      </w:r>
      <w:r w:rsidR="00BB056F" w:rsidRPr="00E747A2">
        <w:rPr>
          <w:noProof/>
          <w:color w:val="auto"/>
          <w:szCs w:val="24"/>
        </w:rPr>
        <w:t>(</w:t>
      </w:r>
      <w:r w:rsidR="00AB3728" w:rsidRPr="00E747A2">
        <w:rPr>
          <w:noProof/>
          <w:color w:val="auto"/>
          <w:szCs w:val="24"/>
        </w:rPr>
        <w:t>1996)</w:t>
      </w:r>
      <w:r w:rsidR="00382493" w:rsidRPr="00E747A2">
        <w:rPr>
          <w:color w:val="auto"/>
          <w:szCs w:val="24"/>
        </w:rPr>
        <w:fldChar w:fldCharType="end"/>
      </w:r>
      <w:r w:rsidR="003964E8" w:rsidRPr="00E747A2">
        <w:rPr>
          <w:color w:val="auto"/>
          <w:szCs w:val="24"/>
        </w:rPr>
        <w:t xml:space="preserve"> </w:t>
      </w:r>
      <w:r w:rsidR="008D0D0B" w:rsidRPr="00E747A2">
        <w:rPr>
          <w:color w:val="auto"/>
          <w:szCs w:val="24"/>
        </w:rPr>
        <w:t xml:space="preserve">based </w:t>
      </w:r>
      <w:r w:rsidR="003964E8" w:rsidRPr="00E747A2">
        <w:rPr>
          <w:color w:val="auto"/>
          <w:szCs w:val="24"/>
        </w:rPr>
        <w:t>on a semi-</w:t>
      </w:r>
      <w:r w:rsidR="008D0D0B" w:rsidRPr="00E747A2">
        <w:rPr>
          <w:color w:val="auto"/>
          <w:szCs w:val="24"/>
        </w:rPr>
        <w:t>pure</w:t>
      </w:r>
      <w:r w:rsidR="003964E8" w:rsidRPr="00E747A2">
        <w:rPr>
          <w:color w:val="auto"/>
          <w:szCs w:val="24"/>
        </w:rPr>
        <w:t xml:space="preserve"> diet.</w:t>
      </w:r>
      <w:r w:rsidR="003F2975" w:rsidRPr="00E747A2">
        <w:rPr>
          <w:color w:val="auto"/>
          <w:szCs w:val="24"/>
        </w:rPr>
        <w:t xml:space="preserve"> </w:t>
      </w:r>
      <w:r w:rsidR="003964E8" w:rsidRPr="00E747A2">
        <w:rPr>
          <w:color w:val="auto"/>
          <w:szCs w:val="24"/>
        </w:rPr>
        <w:t xml:space="preserve">The </w:t>
      </w:r>
      <w:r w:rsidR="008D0D0B" w:rsidRPr="00E747A2">
        <w:rPr>
          <w:color w:val="auto"/>
          <w:szCs w:val="24"/>
        </w:rPr>
        <w:t>p</w:t>
      </w:r>
      <w:r w:rsidR="003964E8" w:rsidRPr="00E747A2">
        <w:rPr>
          <w:color w:val="auto"/>
          <w:szCs w:val="24"/>
        </w:rPr>
        <w:t>hosphorus equivalen</w:t>
      </w:r>
      <w:r w:rsidR="008D0D0B" w:rsidRPr="00E747A2">
        <w:rPr>
          <w:color w:val="auto"/>
          <w:szCs w:val="24"/>
        </w:rPr>
        <w:t>cy</w:t>
      </w:r>
      <w:r w:rsidR="003F2975" w:rsidRPr="00E747A2">
        <w:rPr>
          <w:color w:val="auto"/>
          <w:szCs w:val="24"/>
        </w:rPr>
        <w:t xml:space="preserve"> </w:t>
      </w:r>
      <w:r w:rsidR="008D0D0B" w:rsidRPr="00E747A2">
        <w:rPr>
          <w:color w:val="auto"/>
          <w:szCs w:val="24"/>
        </w:rPr>
        <w:t>of phytase</w:t>
      </w:r>
      <w:r w:rsidR="003F2975" w:rsidRPr="00E747A2">
        <w:rPr>
          <w:color w:val="auto"/>
          <w:szCs w:val="24"/>
        </w:rPr>
        <w:t xml:space="preserve"> </w:t>
      </w:r>
      <w:r w:rsidR="003964E8" w:rsidRPr="00E747A2">
        <w:rPr>
          <w:color w:val="auto"/>
          <w:szCs w:val="24"/>
        </w:rPr>
        <w:t xml:space="preserve">in other </w:t>
      </w:r>
      <w:r w:rsidR="008D0D0B" w:rsidRPr="00E747A2">
        <w:rPr>
          <w:color w:val="auto"/>
          <w:szCs w:val="24"/>
        </w:rPr>
        <w:t>ingredient</w:t>
      </w:r>
      <w:r w:rsidR="003964E8" w:rsidRPr="00E747A2">
        <w:rPr>
          <w:color w:val="auto"/>
          <w:szCs w:val="24"/>
        </w:rPr>
        <w:t>s has not been reported.</w:t>
      </w:r>
      <w:r w:rsidR="00503398" w:rsidRPr="00E747A2">
        <w:rPr>
          <w:color w:val="auto"/>
          <w:szCs w:val="24"/>
        </w:rPr>
        <w:t xml:space="preserve"> </w:t>
      </w:r>
      <w:r w:rsidR="005B0F12" w:rsidRPr="00E747A2">
        <w:rPr>
          <w:color w:val="auto"/>
          <w:szCs w:val="24"/>
        </w:rPr>
        <w:t>The results of this experiment suggest that it is necessary to understand the effects of phytase addition in different feed ingredients for the precise and accurate application of phytase.</w:t>
      </w:r>
    </w:p>
    <w:bookmarkEnd w:id="0"/>
    <w:bookmarkEnd w:id="1"/>
    <w:p w:rsidR="00E92783" w:rsidRPr="00E747A2" w:rsidRDefault="005E0E2B" w:rsidP="00BE2D61">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r w:rsidRPr="00E747A2">
        <w:rPr>
          <w:rFonts w:ascii="Times New Roman" w:hAnsi="Times New Roman" w:cs="Times New Roman"/>
          <w:color w:val="auto"/>
          <w:sz w:val="24"/>
          <w:szCs w:val="24"/>
        </w:rPr>
        <w:t xml:space="preserve">Conclusion </w:t>
      </w:r>
    </w:p>
    <w:p w:rsidR="00E35B18" w:rsidRDefault="00154A45" w:rsidP="00494F76">
      <w:pPr>
        <w:spacing w:line="480" w:lineRule="auto"/>
        <w:rPr>
          <w:iCs/>
          <w:color w:val="auto"/>
        </w:rPr>
      </w:pPr>
      <w:r w:rsidRPr="00E747A2">
        <w:rPr>
          <w:color w:val="auto"/>
        </w:rPr>
        <w:t xml:space="preserve">In this experiment, </w:t>
      </w:r>
      <w:r w:rsidR="004C5899" w:rsidRPr="00E747A2">
        <w:rPr>
          <w:color w:val="auto"/>
        </w:rPr>
        <w:t xml:space="preserve">the </w:t>
      </w:r>
      <w:r w:rsidR="0075142D" w:rsidRPr="00E747A2">
        <w:rPr>
          <w:color w:val="auto"/>
        </w:rPr>
        <w:t xml:space="preserve">mean value for the </w:t>
      </w:r>
      <w:r w:rsidR="00494F76">
        <w:rPr>
          <w:color w:val="auto"/>
        </w:rPr>
        <w:t>EPL</w:t>
      </w:r>
      <w:r w:rsidR="004C5899" w:rsidRPr="00E747A2">
        <w:rPr>
          <w:color w:val="auto"/>
        </w:rPr>
        <w:t xml:space="preserve"> of broiler chickens aged 28-31 da</w:t>
      </w:r>
      <w:r w:rsidR="004344C1" w:rsidRPr="00E747A2">
        <w:rPr>
          <w:color w:val="auto"/>
        </w:rPr>
        <w:t>y</w:t>
      </w:r>
      <w:r w:rsidR="004C5899" w:rsidRPr="00E747A2">
        <w:rPr>
          <w:color w:val="auto"/>
        </w:rPr>
        <w:t xml:space="preserve">s </w:t>
      </w:r>
      <w:r w:rsidR="00494F76">
        <w:rPr>
          <w:color w:val="auto"/>
        </w:rPr>
        <w:t>found to be</w:t>
      </w:r>
      <w:r w:rsidR="004C5899" w:rsidRPr="00E747A2">
        <w:rPr>
          <w:color w:val="auto"/>
        </w:rPr>
        <w:t xml:space="preserve"> 97.45</w:t>
      </w:r>
      <w:r w:rsidR="00FB3836" w:rsidRPr="00E747A2">
        <w:rPr>
          <w:color w:val="auto"/>
        </w:rPr>
        <w:t xml:space="preserve"> </w:t>
      </w:r>
      <w:r w:rsidR="004C5899" w:rsidRPr="00E747A2">
        <w:rPr>
          <w:color w:val="auto"/>
        </w:rPr>
        <w:t>mg/</w:t>
      </w:r>
      <w:r w:rsidR="00503398" w:rsidRPr="00E747A2">
        <w:rPr>
          <w:color w:val="auto"/>
        </w:rPr>
        <w:t>kg</w:t>
      </w:r>
      <w:r w:rsidR="005D74FA" w:rsidRPr="00E747A2">
        <w:rPr>
          <w:color w:val="auto"/>
        </w:rPr>
        <w:t xml:space="preserve"> </w:t>
      </w:r>
      <w:r w:rsidR="004C5899" w:rsidRPr="00E747A2">
        <w:rPr>
          <w:color w:val="auto"/>
        </w:rPr>
        <w:t>DMI. T</w:t>
      </w:r>
      <w:r w:rsidRPr="00E747A2">
        <w:rPr>
          <w:color w:val="auto"/>
        </w:rPr>
        <w:t xml:space="preserve">he true </w:t>
      </w:r>
      <w:r w:rsidR="004C5899" w:rsidRPr="00E747A2">
        <w:rPr>
          <w:color w:val="auto"/>
        </w:rPr>
        <w:t xml:space="preserve">availability of </w:t>
      </w:r>
      <w:r w:rsidRPr="00E747A2">
        <w:rPr>
          <w:color w:val="auto"/>
        </w:rPr>
        <w:t xml:space="preserve">phosphorus </w:t>
      </w:r>
      <w:r w:rsidR="004C5899" w:rsidRPr="00E747A2">
        <w:rPr>
          <w:color w:val="auto"/>
        </w:rPr>
        <w:t>in</w:t>
      </w:r>
      <w:r w:rsidR="004344C1" w:rsidRPr="00E747A2">
        <w:rPr>
          <w:color w:val="auto"/>
        </w:rPr>
        <w:t xml:space="preserve"> soybean meal,</w:t>
      </w:r>
      <w:r w:rsidRPr="00E747A2">
        <w:rPr>
          <w:color w:val="auto"/>
        </w:rPr>
        <w:t xml:space="preserve"> canola meal, </w:t>
      </w:r>
      <w:r w:rsidR="007F588E">
        <w:rPr>
          <w:color w:val="auto"/>
        </w:rPr>
        <w:t>c</w:t>
      </w:r>
      <w:r w:rsidR="007F588E" w:rsidRPr="00E747A2">
        <w:rPr>
          <w:color w:val="auto"/>
        </w:rPr>
        <w:t>orn DDGS</w:t>
      </w:r>
      <w:r w:rsidR="007F588E">
        <w:rPr>
          <w:color w:val="auto"/>
        </w:rPr>
        <w:t xml:space="preserve"> </w:t>
      </w:r>
      <w:r w:rsidR="00612E6A" w:rsidRPr="00E747A2">
        <w:rPr>
          <w:color w:val="auto"/>
        </w:rPr>
        <w:t>was</w:t>
      </w:r>
      <w:r w:rsidR="007F588E">
        <w:rPr>
          <w:color w:val="auto"/>
        </w:rPr>
        <w:t xml:space="preserve"> more than 49%, which was</w:t>
      </w:r>
      <w:r w:rsidR="00612E6A" w:rsidRPr="00E747A2">
        <w:rPr>
          <w:color w:val="auto"/>
        </w:rPr>
        <w:t xml:space="preserve"> </w:t>
      </w:r>
      <w:r w:rsidR="007F588E">
        <w:rPr>
          <w:color w:val="auto"/>
        </w:rPr>
        <w:t>significant higher than</w:t>
      </w:r>
      <w:r w:rsidR="007F588E" w:rsidRPr="00E747A2">
        <w:rPr>
          <w:color w:val="auto"/>
        </w:rPr>
        <w:t xml:space="preserve"> </w:t>
      </w:r>
      <w:r w:rsidR="000A68A1" w:rsidRPr="00E747A2">
        <w:rPr>
          <w:color w:val="auto"/>
        </w:rPr>
        <w:t>wheat middling</w:t>
      </w:r>
      <w:r w:rsidR="000A68A1">
        <w:rPr>
          <w:color w:val="auto"/>
        </w:rPr>
        <w:t xml:space="preserve">, </w:t>
      </w:r>
      <w:r w:rsidR="000A68A1" w:rsidRPr="00E747A2">
        <w:rPr>
          <w:color w:val="auto"/>
        </w:rPr>
        <w:t>wheat grain</w:t>
      </w:r>
      <w:r w:rsidR="000A68A1">
        <w:rPr>
          <w:color w:val="auto"/>
        </w:rPr>
        <w:t>,</w:t>
      </w:r>
      <w:r w:rsidR="000A68A1" w:rsidRPr="00E747A2">
        <w:rPr>
          <w:color w:val="auto"/>
        </w:rPr>
        <w:t xml:space="preserve"> wheat bran</w:t>
      </w:r>
      <w:r w:rsidR="000A68A1">
        <w:rPr>
          <w:color w:val="auto"/>
        </w:rPr>
        <w:t>,</w:t>
      </w:r>
      <w:r w:rsidR="000A68A1" w:rsidRPr="00E747A2">
        <w:rPr>
          <w:color w:val="auto"/>
        </w:rPr>
        <w:t xml:space="preserve"> and </w:t>
      </w:r>
      <w:r w:rsidR="000A68A1">
        <w:rPr>
          <w:color w:val="auto"/>
        </w:rPr>
        <w:t>peanut meal,</w:t>
      </w:r>
      <w:r w:rsidR="007F588E" w:rsidRPr="00E747A2">
        <w:rPr>
          <w:color w:val="auto"/>
        </w:rPr>
        <w:t xml:space="preserve"> </w:t>
      </w:r>
      <w:r w:rsidR="007F588E">
        <w:rPr>
          <w:color w:val="auto"/>
        </w:rPr>
        <w:t>that was recorded from 36.77% to 42.76%</w:t>
      </w:r>
      <w:r w:rsidRPr="00E747A2">
        <w:rPr>
          <w:color w:val="auto"/>
        </w:rPr>
        <w:t>.</w:t>
      </w:r>
      <w:bookmarkStart w:id="3" w:name="OLE_LINK4"/>
      <w:bookmarkStart w:id="4" w:name="OLE_LINK5"/>
      <w:r w:rsidR="00503398" w:rsidRPr="00E747A2">
        <w:rPr>
          <w:color w:val="auto"/>
        </w:rPr>
        <w:t xml:space="preserve"> </w:t>
      </w:r>
      <w:r w:rsidR="007F588E">
        <w:rPr>
          <w:color w:val="auto"/>
        </w:rPr>
        <w:t xml:space="preserve"> </w:t>
      </w:r>
      <w:r w:rsidR="00612E6A" w:rsidRPr="00E747A2">
        <w:rPr>
          <w:color w:val="auto"/>
        </w:rPr>
        <w:t>A</w:t>
      </w:r>
      <w:r w:rsidR="00E35B18" w:rsidRPr="00E747A2">
        <w:rPr>
          <w:iCs/>
          <w:color w:val="auto"/>
        </w:rPr>
        <w:t xml:space="preserve">ddition of </w:t>
      </w:r>
      <w:r w:rsidR="00E35B18" w:rsidRPr="00E747A2">
        <w:rPr>
          <w:iCs/>
          <w:color w:val="auto"/>
        </w:rPr>
        <w:lastRenderedPageBreak/>
        <w:t>p</w:t>
      </w:r>
      <w:r w:rsidR="00684A53" w:rsidRPr="00E747A2">
        <w:rPr>
          <w:iCs/>
          <w:color w:val="auto"/>
        </w:rPr>
        <w:t xml:space="preserve">hytase </w:t>
      </w:r>
      <w:r w:rsidR="00612E6A" w:rsidRPr="00E747A2">
        <w:rPr>
          <w:iCs/>
          <w:color w:val="auto"/>
        </w:rPr>
        <w:t xml:space="preserve">significantly </w:t>
      </w:r>
      <w:r w:rsidR="00684A53" w:rsidRPr="00E747A2">
        <w:rPr>
          <w:iCs/>
          <w:color w:val="auto"/>
        </w:rPr>
        <w:t>i</w:t>
      </w:r>
      <w:r w:rsidR="00E35B18" w:rsidRPr="00E747A2">
        <w:rPr>
          <w:iCs/>
          <w:color w:val="auto"/>
        </w:rPr>
        <w:t xml:space="preserve">mproved </w:t>
      </w:r>
      <w:r w:rsidR="00684A53" w:rsidRPr="00E747A2">
        <w:rPr>
          <w:iCs/>
          <w:color w:val="auto"/>
        </w:rPr>
        <w:t xml:space="preserve">the </w:t>
      </w:r>
      <w:r w:rsidR="00E35B18" w:rsidRPr="00E747A2">
        <w:rPr>
          <w:iCs/>
          <w:color w:val="auto"/>
        </w:rPr>
        <w:t xml:space="preserve">availability of </w:t>
      </w:r>
      <w:r w:rsidR="00684A53" w:rsidRPr="00E747A2">
        <w:rPr>
          <w:iCs/>
          <w:color w:val="auto"/>
        </w:rPr>
        <w:t xml:space="preserve">phosphorus </w:t>
      </w:r>
      <w:r w:rsidR="00612E6A" w:rsidRPr="00E747A2">
        <w:rPr>
          <w:iCs/>
          <w:color w:val="auto"/>
        </w:rPr>
        <w:t xml:space="preserve">in the tested </w:t>
      </w:r>
      <w:r w:rsidR="00E35B18" w:rsidRPr="00E747A2">
        <w:rPr>
          <w:iCs/>
          <w:color w:val="auto"/>
        </w:rPr>
        <w:t>feed ingredients of plant origin</w:t>
      </w:r>
      <w:r w:rsidR="00612E6A" w:rsidRPr="00E747A2">
        <w:rPr>
          <w:iCs/>
          <w:color w:val="auto"/>
        </w:rPr>
        <w:t>. T</w:t>
      </w:r>
      <w:r w:rsidR="00684A53" w:rsidRPr="00E747A2">
        <w:rPr>
          <w:iCs/>
          <w:color w:val="auto"/>
        </w:rPr>
        <w:t xml:space="preserve">he improvement </w:t>
      </w:r>
      <w:r w:rsidR="0075142D" w:rsidRPr="00E747A2">
        <w:rPr>
          <w:iCs/>
          <w:color w:val="auto"/>
        </w:rPr>
        <w:t xml:space="preserve">was </w:t>
      </w:r>
      <w:r w:rsidR="00684A53" w:rsidRPr="00E747A2">
        <w:rPr>
          <w:iCs/>
          <w:color w:val="auto"/>
        </w:rPr>
        <w:t xml:space="preserve">varied greatly with </w:t>
      </w:r>
      <w:r w:rsidR="000A68A1">
        <w:rPr>
          <w:iCs/>
          <w:color w:val="auto"/>
        </w:rPr>
        <w:t xml:space="preserve">the </w:t>
      </w:r>
      <w:r w:rsidR="00684A53" w:rsidRPr="00E747A2">
        <w:rPr>
          <w:iCs/>
          <w:color w:val="auto"/>
        </w:rPr>
        <w:t>different</w:t>
      </w:r>
      <w:r w:rsidR="000A68A1">
        <w:rPr>
          <w:iCs/>
          <w:color w:val="auto"/>
        </w:rPr>
        <w:t xml:space="preserve"> feed</w:t>
      </w:r>
      <w:r w:rsidR="00684A53" w:rsidRPr="00E747A2">
        <w:rPr>
          <w:iCs/>
          <w:color w:val="auto"/>
        </w:rPr>
        <w:t xml:space="preserve"> </w:t>
      </w:r>
      <w:r w:rsidR="00E35B18" w:rsidRPr="00E747A2">
        <w:rPr>
          <w:iCs/>
          <w:color w:val="auto"/>
        </w:rPr>
        <w:t>ingredients</w:t>
      </w:r>
      <w:r w:rsidR="0075142D" w:rsidRPr="00E747A2">
        <w:rPr>
          <w:iCs/>
          <w:color w:val="auto"/>
        </w:rPr>
        <w:t>,</w:t>
      </w:r>
      <w:r w:rsidR="00684A53" w:rsidRPr="00E747A2">
        <w:rPr>
          <w:iCs/>
          <w:color w:val="auto"/>
        </w:rPr>
        <w:t xml:space="preserve"> among which wheat grain, wheat middling, </w:t>
      </w:r>
      <w:r w:rsidR="004344C1" w:rsidRPr="00E747A2">
        <w:rPr>
          <w:iCs/>
          <w:color w:val="auto"/>
        </w:rPr>
        <w:t>soybean</w:t>
      </w:r>
      <w:r w:rsidR="00684A53" w:rsidRPr="00E747A2">
        <w:rPr>
          <w:iCs/>
          <w:color w:val="auto"/>
        </w:rPr>
        <w:t xml:space="preserve"> meal</w:t>
      </w:r>
      <w:r w:rsidR="006A4ED6" w:rsidRPr="00E747A2">
        <w:rPr>
          <w:iCs/>
          <w:color w:val="auto"/>
        </w:rPr>
        <w:t>,</w:t>
      </w:r>
      <w:r w:rsidR="00684A53" w:rsidRPr="00E747A2">
        <w:rPr>
          <w:iCs/>
          <w:color w:val="auto"/>
        </w:rPr>
        <w:t xml:space="preserve"> and wheat bran improved the most, all by </w:t>
      </w:r>
      <w:r w:rsidR="00E35B18" w:rsidRPr="00E747A2">
        <w:rPr>
          <w:iCs/>
          <w:color w:val="auto"/>
        </w:rPr>
        <w:t xml:space="preserve">nearly or </w:t>
      </w:r>
      <w:r w:rsidR="00684A53" w:rsidRPr="00E747A2">
        <w:rPr>
          <w:iCs/>
          <w:color w:val="auto"/>
        </w:rPr>
        <w:t>more than 30%</w:t>
      </w:r>
      <w:r w:rsidR="00C97375">
        <w:rPr>
          <w:iCs/>
          <w:color w:val="auto"/>
        </w:rPr>
        <w:t xml:space="preserve">, while peanut meal and corn DDGS was </w:t>
      </w:r>
      <w:r w:rsidR="00170447">
        <w:rPr>
          <w:iCs/>
          <w:color w:val="auto"/>
        </w:rPr>
        <w:t>improv</w:t>
      </w:r>
      <w:r w:rsidR="00C97375">
        <w:rPr>
          <w:iCs/>
          <w:color w:val="auto"/>
        </w:rPr>
        <w:t xml:space="preserve">ed </w:t>
      </w:r>
      <w:r w:rsidR="000A68A1">
        <w:rPr>
          <w:iCs/>
          <w:color w:val="auto"/>
        </w:rPr>
        <w:t>below 12%</w:t>
      </w:r>
      <w:r w:rsidR="00C97375">
        <w:rPr>
          <w:iCs/>
          <w:color w:val="auto"/>
        </w:rPr>
        <w:t xml:space="preserve">. </w:t>
      </w:r>
      <w:r w:rsidR="00684A53" w:rsidRPr="00E747A2">
        <w:rPr>
          <w:iCs/>
          <w:color w:val="auto"/>
        </w:rPr>
        <w:t xml:space="preserve">The available phosphorus equivalent of 1000FTU microbial phytase corresponding to different </w:t>
      </w:r>
      <w:r w:rsidR="00E35B18" w:rsidRPr="00E747A2">
        <w:rPr>
          <w:iCs/>
          <w:color w:val="auto"/>
        </w:rPr>
        <w:t>ingredient</w:t>
      </w:r>
      <w:r w:rsidR="00503398" w:rsidRPr="00E747A2">
        <w:rPr>
          <w:iCs/>
          <w:color w:val="auto"/>
        </w:rPr>
        <w:t xml:space="preserve">s </w:t>
      </w:r>
      <w:r w:rsidR="00612E6A" w:rsidRPr="00E747A2">
        <w:rPr>
          <w:iCs/>
          <w:color w:val="auto"/>
        </w:rPr>
        <w:t>was</w:t>
      </w:r>
      <w:r w:rsidR="00503398" w:rsidRPr="00E747A2">
        <w:rPr>
          <w:iCs/>
          <w:color w:val="auto"/>
        </w:rPr>
        <w:t xml:space="preserve"> between 0.4</w:t>
      </w:r>
      <w:r w:rsidR="00684A53" w:rsidRPr="00E747A2">
        <w:rPr>
          <w:iCs/>
          <w:color w:val="auto"/>
        </w:rPr>
        <w:t>g (</w:t>
      </w:r>
      <w:r w:rsidR="00A74C06" w:rsidRPr="00E747A2">
        <w:rPr>
          <w:iCs/>
          <w:color w:val="auto"/>
        </w:rPr>
        <w:t>corn</w:t>
      </w:r>
      <w:r w:rsidR="00684A53" w:rsidRPr="00E747A2">
        <w:rPr>
          <w:iCs/>
          <w:color w:val="auto"/>
        </w:rPr>
        <w:t xml:space="preserve"> DDGS</w:t>
      </w:r>
      <w:r w:rsidR="00503398" w:rsidRPr="00E747A2">
        <w:rPr>
          <w:iCs/>
          <w:color w:val="auto"/>
        </w:rPr>
        <w:t xml:space="preserve"> and peanut meal) and 1.3</w:t>
      </w:r>
      <w:r w:rsidR="00684A53" w:rsidRPr="00E747A2">
        <w:rPr>
          <w:iCs/>
          <w:color w:val="auto"/>
        </w:rPr>
        <w:t>g (</w:t>
      </w:r>
      <w:r w:rsidR="00503398" w:rsidRPr="00E747A2">
        <w:rPr>
          <w:iCs/>
          <w:color w:val="auto"/>
        </w:rPr>
        <w:t>wheat bran</w:t>
      </w:r>
      <w:r w:rsidR="00684A53" w:rsidRPr="00E747A2">
        <w:rPr>
          <w:iCs/>
          <w:color w:val="auto"/>
        </w:rPr>
        <w:t xml:space="preserve">). </w:t>
      </w:r>
      <w:r w:rsidR="00C10B93" w:rsidRPr="00E747A2">
        <w:rPr>
          <w:iCs/>
          <w:color w:val="auto"/>
        </w:rPr>
        <w:t>In conclusion,</w:t>
      </w:r>
      <w:r w:rsidR="00176CF8" w:rsidRPr="00E747A2">
        <w:rPr>
          <w:iCs/>
          <w:color w:val="auto"/>
        </w:rPr>
        <w:t xml:space="preserve"> formulating</w:t>
      </w:r>
      <w:r w:rsidR="00C10B93" w:rsidRPr="00E747A2">
        <w:rPr>
          <w:iCs/>
          <w:color w:val="auto"/>
        </w:rPr>
        <w:t xml:space="preserve"> </w:t>
      </w:r>
      <w:r w:rsidR="00176CF8" w:rsidRPr="00E747A2">
        <w:rPr>
          <w:iCs/>
          <w:color w:val="auto"/>
        </w:rPr>
        <w:t xml:space="preserve">diets based </w:t>
      </w:r>
      <w:r w:rsidR="006A4ED6" w:rsidRPr="00E747A2">
        <w:rPr>
          <w:iCs/>
          <w:color w:val="auto"/>
        </w:rPr>
        <w:t xml:space="preserve">on </w:t>
      </w:r>
      <w:r w:rsidR="00176CF8" w:rsidRPr="00E747A2">
        <w:rPr>
          <w:iCs/>
          <w:color w:val="auto"/>
        </w:rPr>
        <w:t>the true availability of P can give a re</w:t>
      </w:r>
      <w:r w:rsidR="006A4ED6" w:rsidRPr="00E747A2">
        <w:rPr>
          <w:iCs/>
          <w:color w:val="auto"/>
        </w:rPr>
        <w:t>alistic measure of the digestib</w:t>
      </w:r>
      <w:r w:rsidR="00176CF8" w:rsidRPr="00E747A2">
        <w:rPr>
          <w:iCs/>
          <w:color w:val="auto"/>
        </w:rPr>
        <w:t>le portion of P in the feedstuffs, which imp</w:t>
      </w:r>
      <w:r w:rsidR="006A4ED6" w:rsidRPr="00E747A2">
        <w:rPr>
          <w:iCs/>
          <w:color w:val="auto"/>
        </w:rPr>
        <w:t>r</w:t>
      </w:r>
      <w:r w:rsidR="00176CF8" w:rsidRPr="00E747A2">
        <w:rPr>
          <w:iCs/>
          <w:color w:val="auto"/>
        </w:rPr>
        <w:t xml:space="preserve">ove the feed base of poultry </w:t>
      </w:r>
      <w:r w:rsidR="0075142D" w:rsidRPr="00E747A2">
        <w:rPr>
          <w:iCs/>
          <w:color w:val="auto"/>
        </w:rPr>
        <w:t>that provide</w:t>
      </w:r>
      <w:r w:rsidR="00176CF8" w:rsidRPr="00E747A2">
        <w:rPr>
          <w:iCs/>
          <w:color w:val="auto"/>
        </w:rPr>
        <w:t xml:space="preserve"> economic</w:t>
      </w:r>
      <w:r w:rsidR="00A21AB7" w:rsidRPr="00E747A2">
        <w:rPr>
          <w:iCs/>
          <w:color w:val="auto"/>
        </w:rPr>
        <w:t>ally and environmen</w:t>
      </w:r>
      <w:r w:rsidR="006A4ED6" w:rsidRPr="00E747A2">
        <w:rPr>
          <w:iCs/>
          <w:color w:val="auto"/>
        </w:rPr>
        <w:t>tal</w:t>
      </w:r>
      <w:r w:rsidR="00A21AB7" w:rsidRPr="00E747A2">
        <w:rPr>
          <w:iCs/>
          <w:color w:val="auto"/>
        </w:rPr>
        <w:t xml:space="preserve">ly benefit. </w:t>
      </w:r>
      <w:r w:rsidR="00944F4D" w:rsidRPr="00E747A2">
        <w:rPr>
          <w:iCs/>
          <w:color w:val="auto"/>
        </w:rPr>
        <w:t>A further research study is</w:t>
      </w:r>
      <w:r w:rsidR="00A21AB7" w:rsidRPr="00E747A2">
        <w:rPr>
          <w:iCs/>
          <w:color w:val="auto"/>
        </w:rPr>
        <w:t xml:space="preserve"> </w:t>
      </w:r>
      <w:r w:rsidR="006A4ED6" w:rsidRPr="00E747A2">
        <w:rPr>
          <w:iCs/>
          <w:color w:val="auto"/>
        </w:rPr>
        <w:t xml:space="preserve">a </w:t>
      </w:r>
      <w:r w:rsidR="00A21AB7" w:rsidRPr="00E747A2">
        <w:rPr>
          <w:iCs/>
          <w:color w:val="auto"/>
        </w:rPr>
        <w:t>warranty to evalu</w:t>
      </w:r>
      <w:r w:rsidR="006A4ED6" w:rsidRPr="00E747A2">
        <w:rPr>
          <w:iCs/>
          <w:color w:val="auto"/>
        </w:rPr>
        <w:t>a</w:t>
      </w:r>
      <w:r w:rsidR="00A21AB7" w:rsidRPr="00E747A2">
        <w:rPr>
          <w:iCs/>
          <w:color w:val="auto"/>
        </w:rPr>
        <w:t>t</w:t>
      </w:r>
      <w:r w:rsidR="006A4ED6" w:rsidRPr="00E747A2">
        <w:rPr>
          <w:iCs/>
          <w:color w:val="auto"/>
        </w:rPr>
        <w:t>e</w:t>
      </w:r>
      <w:r w:rsidR="00A21AB7" w:rsidRPr="00E747A2">
        <w:rPr>
          <w:iCs/>
          <w:color w:val="auto"/>
        </w:rPr>
        <w:t xml:space="preserve"> the ileal </w:t>
      </w:r>
      <w:r w:rsidR="00944F4D">
        <w:rPr>
          <w:iCs/>
          <w:color w:val="auto"/>
        </w:rPr>
        <w:t xml:space="preserve">level </w:t>
      </w:r>
      <w:r w:rsidR="00A21AB7" w:rsidRPr="00E747A2">
        <w:rPr>
          <w:iCs/>
          <w:color w:val="auto"/>
        </w:rPr>
        <w:t xml:space="preserve">P </w:t>
      </w:r>
      <w:r w:rsidR="00944F4D" w:rsidRPr="00E747A2">
        <w:rPr>
          <w:iCs/>
          <w:color w:val="auto"/>
        </w:rPr>
        <w:t>digestibility</w:t>
      </w:r>
      <w:r w:rsidR="00A21AB7" w:rsidRPr="00E747A2">
        <w:rPr>
          <w:iCs/>
          <w:color w:val="auto"/>
        </w:rPr>
        <w:t xml:space="preserve"> of similar feed ingredients.</w:t>
      </w:r>
    </w:p>
    <w:p w:rsidR="009138A9" w:rsidRPr="009138A9" w:rsidRDefault="006A3F2C" w:rsidP="009138A9">
      <w:pPr>
        <w:pStyle w:val="MDPI62Acknowledgments"/>
        <w:spacing w:line="480" w:lineRule="auto"/>
        <w:rPr>
          <w:sz w:val="24"/>
          <w:szCs w:val="24"/>
        </w:rPr>
      </w:pPr>
      <w:r w:rsidRPr="00925274">
        <w:rPr>
          <w:b/>
          <w:bCs/>
          <w:color w:val="auto"/>
          <w:sz w:val="24"/>
          <w:szCs w:val="24"/>
        </w:rPr>
        <w:t>Author Contributions</w:t>
      </w:r>
      <w:r w:rsidR="00925274" w:rsidRPr="00925274">
        <w:rPr>
          <w:color w:val="auto"/>
          <w:sz w:val="24"/>
          <w:szCs w:val="24"/>
        </w:rPr>
        <w:t xml:space="preserve">: </w:t>
      </w:r>
      <w:r w:rsidR="009E0E6B">
        <w:rPr>
          <w:sz w:val="24"/>
          <w:szCs w:val="24"/>
        </w:rPr>
        <w:t>C</w:t>
      </w:r>
      <w:r w:rsidR="00925274" w:rsidRPr="00925274">
        <w:rPr>
          <w:sz w:val="24"/>
          <w:szCs w:val="24"/>
        </w:rPr>
        <w:t>onceptualization</w:t>
      </w:r>
      <w:r w:rsidR="009138A9">
        <w:rPr>
          <w:sz w:val="24"/>
          <w:szCs w:val="24"/>
        </w:rPr>
        <w:t xml:space="preserve"> and</w:t>
      </w:r>
      <w:r w:rsidR="00925274" w:rsidRPr="00925274">
        <w:rPr>
          <w:sz w:val="24"/>
          <w:szCs w:val="24"/>
        </w:rPr>
        <w:t xml:space="preserve"> methodology, Tesfay Hagos</w:t>
      </w:r>
      <w:r w:rsidR="00925274">
        <w:rPr>
          <w:sz w:val="24"/>
          <w:szCs w:val="24"/>
        </w:rPr>
        <w:t>,</w:t>
      </w:r>
      <w:r w:rsidR="00925274" w:rsidRPr="00925274">
        <w:rPr>
          <w:rFonts w:ascii="Book Antiqua" w:eastAsiaTheme="minorHAnsi" w:hAnsi="Book Antiqua"/>
          <w:bCs/>
          <w:sz w:val="24"/>
          <w:szCs w:val="24"/>
          <w:lang w:eastAsia="en-US"/>
        </w:rPr>
        <w:t xml:space="preserve"> </w:t>
      </w:r>
      <w:r w:rsidR="00925274" w:rsidRPr="00B178FF">
        <w:rPr>
          <w:rFonts w:ascii="Book Antiqua" w:eastAsiaTheme="minorHAnsi" w:hAnsi="Book Antiqua"/>
          <w:bCs/>
          <w:sz w:val="24"/>
          <w:szCs w:val="24"/>
          <w:lang w:eastAsia="en-US"/>
        </w:rPr>
        <w:t>She Yue</w:t>
      </w:r>
      <w:r w:rsidR="00925274" w:rsidRPr="00925274">
        <w:rPr>
          <w:sz w:val="24"/>
          <w:szCs w:val="24"/>
        </w:rPr>
        <w:t xml:space="preserve"> and </w:t>
      </w:r>
      <w:r w:rsidR="00925274" w:rsidRPr="00925274">
        <w:rPr>
          <w:rFonts w:eastAsiaTheme="minorHAnsi"/>
          <w:sz w:val="24"/>
          <w:szCs w:val="24"/>
          <w:lang w:eastAsia="en-US"/>
        </w:rPr>
        <w:t>Liu Guohua;</w:t>
      </w:r>
      <w:r w:rsidR="00925274" w:rsidRPr="00925274">
        <w:rPr>
          <w:sz w:val="24"/>
          <w:szCs w:val="24"/>
        </w:rPr>
        <w:t xml:space="preserve"> </w:t>
      </w:r>
      <w:r w:rsidR="009138A9">
        <w:rPr>
          <w:sz w:val="24"/>
          <w:szCs w:val="24"/>
        </w:rPr>
        <w:t>performed the experiment,</w:t>
      </w:r>
      <w:r w:rsidR="009138A9" w:rsidRPr="009138A9">
        <w:rPr>
          <w:sz w:val="24"/>
          <w:szCs w:val="24"/>
        </w:rPr>
        <w:t xml:space="preserve"> </w:t>
      </w:r>
      <w:r w:rsidR="009138A9" w:rsidRPr="00925274">
        <w:rPr>
          <w:sz w:val="24"/>
          <w:szCs w:val="24"/>
        </w:rPr>
        <w:t>Tesfay Hagos</w:t>
      </w:r>
      <w:r w:rsidR="009138A9">
        <w:rPr>
          <w:sz w:val="24"/>
          <w:szCs w:val="24"/>
        </w:rPr>
        <w:t>, data analysis</w:t>
      </w:r>
      <w:r w:rsidR="009138A9" w:rsidRPr="009138A9">
        <w:rPr>
          <w:sz w:val="24"/>
          <w:szCs w:val="24"/>
        </w:rPr>
        <w:t xml:space="preserve"> </w:t>
      </w:r>
      <w:r w:rsidR="009138A9" w:rsidRPr="00925274">
        <w:rPr>
          <w:sz w:val="24"/>
          <w:szCs w:val="24"/>
        </w:rPr>
        <w:t>Tesfay Hagos</w:t>
      </w:r>
      <w:r w:rsidR="009138A9">
        <w:rPr>
          <w:sz w:val="24"/>
          <w:szCs w:val="24"/>
        </w:rPr>
        <w:t xml:space="preserve"> </w:t>
      </w:r>
      <w:r w:rsidR="009138A9" w:rsidRPr="00925274">
        <w:rPr>
          <w:sz w:val="24"/>
          <w:szCs w:val="24"/>
        </w:rPr>
        <w:t xml:space="preserve">and </w:t>
      </w:r>
      <w:r w:rsidR="009138A9" w:rsidRPr="00925274">
        <w:rPr>
          <w:rFonts w:eastAsiaTheme="minorHAnsi"/>
          <w:sz w:val="24"/>
          <w:szCs w:val="24"/>
          <w:lang w:eastAsia="en-US"/>
        </w:rPr>
        <w:t>Liu Guohua</w:t>
      </w:r>
      <w:r w:rsidR="009138A9">
        <w:rPr>
          <w:rFonts w:eastAsiaTheme="minorHAnsi"/>
          <w:sz w:val="24"/>
          <w:szCs w:val="24"/>
          <w:lang w:eastAsia="en-US"/>
        </w:rPr>
        <w:t>,</w:t>
      </w:r>
      <w:r w:rsidR="009138A9">
        <w:rPr>
          <w:sz w:val="24"/>
          <w:szCs w:val="24"/>
        </w:rPr>
        <w:t xml:space="preserve"> </w:t>
      </w:r>
      <w:r w:rsidR="009138A9" w:rsidRPr="00925274">
        <w:rPr>
          <w:sz w:val="24"/>
          <w:szCs w:val="24"/>
        </w:rPr>
        <w:t>writing—original draft preparation, Tesfay Hagos</w:t>
      </w:r>
      <w:r w:rsidR="009138A9">
        <w:rPr>
          <w:sz w:val="24"/>
          <w:szCs w:val="24"/>
        </w:rPr>
        <w:t>,</w:t>
      </w:r>
      <w:r w:rsidR="009138A9" w:rsidRPr="009138A9">
        <w:rPr>
          <w:sz w:val="24"/>
          <w:szCs w:val="24"/>
        </w:rPr>
        <w:t xml:space="preserve"> </w:t>
      </w:r>
      <w:r w:rsidR="009138A9" w:rsidRPr="00925274">
        <w:rPr>
          <w:sz w:val="24"/>
          <w:szCs w:val="24"/>
        </w:rPr>
        <w:t>super</w:t>
      </w:r>
      <w:r w:rsidR="009138A9">
        <w:rPr>
          <w:sz w:val="24"/>
          <w:szCs w:val="24"/>
        </w:rPr>
        <w:t>vision and</w:t>
      </w:r>
      <w:r w:rsidR="009138A9" w:rsidRPr="00925274">
        <w:rPr>
          <w:sz w:val="24"/>
          <w:szCs w:val="24"/>
        </w:rPr>
        <w:t xml:space="preserve"> project administration, </w:t>
      </w:r>
      <w:r w:rsidR="009138A9" w:rsidRPr="00925274">
        <w:rPr>
          <w:rFonts w:eastAsiaTheme="minorHAnsi"/>
          <w:sz w:val="24"/>
          <w:szCs w:val="24"/>
          <w:lang w:eastAsia="en-US"/>
        </w:rPr>
        <w:t>Liu Guohua and Cai Hyuie</w:t>
      </w:r>
      <w:r w:rsidR="009138A9">
        <w:rPr>
          <w:rFonts w:eastAsiaTheme="minorHAnsi"/>
          <w:sz w:val="24"/>
          <w:szCs w:val="24"/>
          <w:lang w:eastAsia="en-US"/>
        </w:rPr>
        <w:t xml:space="preserve">. </w:t>
      </w:r>
      <w:r w:rsidR="009138A9" w:rsidRPr="009138A9">
        <w:rPr>
          <w:sz w:val="24"/>
          <w:szCs w:val="24"/>
        </w:rPr>
        <w:t xml:space="preserve">All authors reviewed and approved the final manuscript. </w:t>
      </w:r>
    </w:p>
    <w:p w:rsidR="00786A7B" w:rsidRPr="00E747A2" w:rsidRDefault="00855445" w:rsidP="00BE2D61">
      <w:pPr>
        <w:pStyle w:val="MDPI62Acknowledgments"/>
        <w:spacing w:line="480" w:lineRule="auto"/>
        <w:rPr>
          <w:rFonts w:ascii="Times New Roman" w:hAnsi="Times New Roman"/>
          <w:b/>
          <w:color w:val="auto"/>
          <w:sz w:val="24"/>
          <w:szCs w:val="24"/>
        </w:rPr>
      </w:pPr>
      <w:bookmarkStart w:id="5" w:name="OLE_LINK6"/>
      <w:bookmarkStart w:id="6" w:name="OLE_LINK7"/>
      <w:bookmarkEnd w:id="3"/>
      <w:bookmarkEnd w:id="4"/>
      <w:r w:rsidRPr="00E747A2">
        <w:rPr>
          <w:rFonts w:ascii="Times New Roman" w:hAnsi="Times New Roman"/>
          <w:b/>
          <w:color w:val="auto"/>
          <w:sz w:val="24"/>
          <w:szCs w:val="24"/>
        </w:rPr>
        <w:t>Funding</w:t>
      </w:r>
      <w:bookmarkEnd w:id="5"/>
      <w:bookmarkEnd w:id="6"/>
      <w:r w:rsidRPr="00E747A2">
        <w:rPr>
          <w:rFonts w:ascii="Times New Roman" w:hAnsi="Times New Roman"/>
          <w:b/>
          <w:color w:val="auto"/>
          <w:sz w:val="24"/>
          <w:szCs w:val="24"/>
        </w:rPr>
        <w:t>:</w:t>
      </w:r>
      <w:r w:rsidR="004D65EC" w:rsidRPr="00E747A2">
        <w:rPr>
          <w:rFonts w:ascii="Times New Roman" w:hAnsi="Times New Roman"/>
          <w:b/>
          <w:color w:val="auto"/>
          <w:sz w:val="24"/>
          <w:szCs w:val="24"/>
        </w:rPr>
        <w:t xml:space="preserve"> </w:t>
      </w:r>
      <w:r w:rsidR="004505C5" w:rsidRPr="00E747A2">
        <w:rPr>
          <w:rFonts w:ascii="Times New Roman" w:hAnsi="Times New Roman"/>
          <w:color w:val="auto"/>
          <w:sz w:val="24"/>
          <w:szCs w:val="24"/>
        </w:rPr>
        <w:t xml:space="preserve">The </w:t>
      </w:r>
      <w:r w:rsidR="00786A7B" w:rsidRPr="00E747A2">
        <w:rPr>
          <w:rFonts w:ascii="Times New Roman" w:hAnsi="Times New Roman"/>
          <w:color w:val="auto"/>
          <w:sz w:val="24"/>
          <w:szCs w:val="24"/>
        </w:rPr>
        <w:t>research was funded by</w:t>
      </w:r>
      <w:r w:rsidR="004D65EC" w:rsidRPr="00E747A2">
        <w:rPr>
          <w:rFonts w:ascii="Times New Roman" w:hAnsi="Times New Roman"/>
          <w:color w:val="auto"/>
          <w:sz w:val="24"/>
          <w:szCs w:val="24"/>
        </w:rPr>
        <w:t xml:space="preserve"> </w:t>
      </w:r>
      <w:r w:rsidR="00FC32D7" w:rsidRPr="00E747A2">
        <w:rPr>
          <w:rFonts w:ascii="Times New Roman" w:hAnsi="Times New Roman"/>
          <w:color w:val="auto"/>
          <w:sz w:val="24"/>
          <w:szCs w:val="24"/>
        </w:rPr>
        <w:t>China Agriculture Research System (CARS-41) and China Postdoctoral Science Foundation</w:t>
      </w:r>
    </w:p>
    <w:p w:rsidR="00855445" w:rsidRPr="00E747A2" w:rsidRDefault="004505C5" w:rsidP="00BE2D61">
      <w:pPr>
        <w:pStyle w:val="MDPI62Acknowledgments"/>
        <w:spacing w:line="480" w:lineRule="auto"/>
        <w:rPr>
          <w:rFonts w:ascii="Times New Roman" w:hAnsi="Times New Roman"/>
          <w:b/>
          <w:color w:val="auto"/>
          <w:sz w:val="24"/>
          <w:szCs w:val="24"/>
        </w:rPr>
      </w:pPr>
      <w:r w:rsidRPr="00E747A2">
        <w:rPr>
          <w:rFonts w:ascii="Times New Roman" w:hAnsi="Times New Roman"/>
          <w:b/>
          <w:color w:val="auto"/>
          <w:sz w:val="24"/>
          <w:szCs w:val="24"/>
        </w:rPr>
        <w:t>Acknowledgment</w:t>
      </w:r>
      <w:r w:rsidR="00855445" w:rsidRPr="00E747A2">
        <w:rPr>
          <w:rFonts w:ascii="Times New Roman" w:hAnsi="Times New Roman"/>
          <w:b/>
          <w:color w:val="auto"/>
          <w:sz w:val="24"/>
          <w:szCs w:val="24"/>
        </w:rPr>
        <w:t>:</w:t>
      </w:r>
      <w:r w:rsidR="00855445" w:rsidRPr="00E747A2">
        <w:rPr>
          <w:rFonts w:ascii="Times New Roman" w:hAnsi="Times New Roman"/>
          <w:color w:val="auto"/>
          <w:sz w:val="24"/>
          <w:szCs w:val="24"/>
        </w:rPr>
        <w:t xml:space="preserve"> The authors like to forward their acknowledgment to China Agriculture Research System (CARS-41)</w:t>
      </w:r>
      <w:r w:rsidR="007C0BE5" w:rsidRPr="00E747A2">
        <w:rPr>
          <w:rFonts w:ascii="Times New Roman" w:hAnsi="Times New Roman"/>
          <w:color w:val="auto"/>
          <w:sz w:val="24"/>
          <w:szCs w:val="24"/>
        </w:rPr>
        <w:t>and China Postdoctoral Science Foundation</w:t>
      </w:r>
      <w:r w:rsidR="004D65EC" w:rsidRPr="00E747A2">
        <w:rPr>
          <w:rFonts w:ascii="Times New Roman" w:hAnsi="Times New Roman"/>
          <w:color w:val="auto"/>
          <w:sz w:val="24"/>
          <w:szCs w:val="24"/>
        </w:rPr>
        <w:t xml:space="preserve"> </w:t>
      </w:r>
      <w:r w:rsidR="00855445" w:rsidRPr="00E747A2">
        <w:rPr>
          <w:rFonts w:ascii="Times New Roman" w:hAnsi="Times New Roman"/>
          <w:color w:val="auto"/>
          <w:sz w:val="24"/>
          <w:szCs w:val="24"/>
        </w:rPr>
        <w:t>for the fund support of the project, to the hosting feed research institute (FRI), graduate school of Chinese academy of agricultural sciences (GS-CAAS), Tigray agricultural research institute (TARI) and to all staff of the feed research institute and poultry nutrition laboratory.</w:t>
      </w:r>
    </w:p>
    <w:p w:rsidR="00855445" w:rsidRPr="00E747A2" w:rsidRDefault="00E53C3F" w:rsidP="00BE2D61">
      <w:pPr>
        <w:pStyle w:val="MDPI64CoI"/>
        <w:spacing w:before="0" w:line="480" w:lineRule="auto"/>
        <w:rPr>
          <w:rFonts w:ascii="Times New Roman" w:hAnsi="Times New Roman"/>
          <w:color w:val="auto"/>
          <w:sz w:val="24"/>
          <w:szCs w:val="24"/>
        </w:rPr>
      </w:pPr>
      <w:r w:rsidRPr="00E747A2">
        <w:rPr>
          <w:rFonts w:ascii="Times New Roman" w:hAnsi="Times New Roman"/>
          <w:b/>
          <w:color w:val="auto"/>
          <w:sz w:val="24"/>
          <w:szCs w:val="24"/>
        </w:rPr>
        <w:t>Conflicts of i</w:t>
      </w:r>
      <w:r w:rsidR="00855445" w:rsidRPr="00E747A2">
        <w:rPr>
          <w:rFonts w:ascii="Times New Roman" w:hAnsi="Times New Roman"/>
          <w:b/>
          <w:color w:val="auto"/>
          <w:sz w:val="24"/>
          <w:szCs w:val="24"/>
        </w:rPr>
        <w:t>nterest:</w:t>
      </w:r>
      <w:r w:rsidR="00855445" w:rsidRPr="00E747A2">
        <w:rPr>
          <w:rFonts w:ascii="Times New Roman" w:hAnsi="Times New Roman"/>
          <w:color w:val="auto"/>
          <w:sz w:val="24"/>
          <w:szCs w:val="24"/>
        </w:rPr>
        <w:t xml:space="preserve"> The authors declare that there is no any conflict of interest.</w:t>
      </w:r>
    </w:p>
    <w:p w:rsidR="00E92783" w:rsidRPr="00E747A2" w:rsidRDefault="005E0E2B" w:rsidP="00BE2D61">
      <w:pPr>
        <w:pStyle w:val="Heading1"/>
        <w:numPr>
          <w:ilvl w:val="0"/>
          <w:numId w:val="30"/>
        </w:numPr>
        <w:tabs>
          <w:tab w:val="left" w:pos="270"/>
        </w:tabs>
        <w:spacing w:before="0" w:line="480" w:lineRule="auto"/>
        <w:ind w:left="0" w:firstLine="0"/>
        <w:jc w:val="left"/>
        <w:rPr>
          <w:rFonts w:ascii="Times New Roman" w:hAnsi="Times New Roman" w:cs="Times New Roman"/>
          <w:color w:val="auto"/>
          <w:sz w:val="24"/>
          <w:szCs w:val="24"/>
        </w:rPr>
      </w:pPr>
      <w:bookmarkStart w:id="7" w:name="OLE_LINK8"/>
      <w:bookmarkStart w:id="8" w:name="OLE_LINK9"/>
      <w:r w:rsidRPr="00E747A2">
        <w:rPr>
          <w:rFonts w:ascii="Times New Roman" w:hAnsi="Times New Roman" w:cs="Times New Roman"/>
          <w:color w:val="auto"/>
          <w:sz w:val="24"/>
          <w:szCs w:val="24"/>
        </w:rPr>
        <w:lastRenderedPageBreak/>
        <w:t>References</w:t>
      </w:r>
      <w:r w:rsidR="00E53C3F" w:rsidRPr="00E747A2">
        <w:rPr>
          <w:rFonts w:ascii="Times New Roman" w:hAnsi="Times New Roman" w:cs="Times New Roman"/>
          <w:color w:val="auto"/>
          <w:sz w:val="24"/>
          <w:szCs w:val="24"/>
        </w:rPr>
        <w:t xml:space="preserve"> </w:t>
      </w:r>
    </w:p>
    <w:p w:rsidR="000877D7" w:rsidRPr="000877D7" w:rsidRDefault="00382493" w:rsidP="000877D7">
      <w:pPr>
        <w:widowControl w:val="0"/>
        <w:autoSpaceDE w:val="0"/>
        <w:autoSpaceDN w:val="0"/>
        <w:adjustRightInd w:val="0"/>
        <w:spacing w:after="200" w:line="480" w:lineRule="auto"/>
        <w:ind w:left="480" w:hanging="480"/>
        <w:rPr>
          <w:noProof/>
          <w:szCs w:val="24"/>
        </w:rPr>
      </w:pPr>
      <w:r w:rsidRPr="00382493">
        <w:rPr>
          <w:rFonts w:eastAsiaTheme="minorHAnsi"/>
          <w:b/>
          <w:color w:val="auto"/>
          <w:lang w:eastAsia="en-US"/>
        </w:rPr>
        <w:fldChar w:fldCharType="begin" w:fldLock="1"/>
      </w:r>
      <w:r w:rsidR="00EF4AAD" w:rsidRPr="00242B3D">
        <w:rPr>
          <w:color w:val="auto"/>
          <w:lang w:val="nb-NO"/>
        </w:rPr>
        <w:instrText xml:space="preserve">ADDIN Mendeley Bibliography CSL_BIBLIOGRAPHY </w:instrText>
      </w:r>
      <w:r w:rsidRPr="00382493">
        <w:rPr>
          <w:rFonts w:eastAsiaTheme="minorHAnsi"/>
          <w:b/>
          <w:color w:val="auto"/>
          <w:lang w:eastAsia="en-US"/>
        </w:rPr>
        <w:fldChar w:fldCharType="separate"/>
      </w:r>
      <w:r w:rsidR="00242B3D" w:rsidRPr="00242B3D">
        <w:rPr>
          <w:noProof/>
          <w:szCs w:val="24"/>
          <w:lang w:val="nb-NO"/>
        </w:rPr>
        <w:t xml:space="preserve">Adedokun SA, JS Sands, O </w:t>
      </w:r>
      <w:r w:rsidR="00242B3D">
        <w:rPr>
          <w:noProof/>
          <w:szCs w:val="24"/>
          <w:lang w:val="nb-NO"/>
        </w:rPr>
        <w:t>Adeola</w:t>
      </w:r>
      <w:r w:rsidR="000877D7" w:rsidRPr="00242B3D">
        <w:rPr>
          <w:noProof/>
          <w:szCs w:val="24"/>
          <w:lang w:val="nb-NO"/>
        </w:rPr>
        <w:t xml:space="preserve"> </w:t>
      </w:r>
      <w:r w:rsidR="00242B3D">
        <w:rPr>
          <w:noProof/>
          <w:szCs w:val="24"/>
          <w:lang w:val="nb-NO"/>
        </w:rPr>
        <w:t xml:space="preserve"> (</w:t>
      </w:r>
      <w:r w:rsidR="000877D7" w:rsidRPr="00242B3D">
        <w:rPr>
          <w:noProof/>
          <w:szCs w:val="24"/>
          <w:lang w:val="nb-NO"/>
        </w:rPr>
        <w:t>2004</w:t>
      </w:r>
      <w:r w:rsidR="00242B3D">
        <w:rPr>
          <w:noProof/>
          <w:szCs w:val="24"/>
          <w:lang w:val="nb-NO"/>
        </w:rPr>
        <w:t>)</w:t>
      </w:r>
      <w:r w:rsidR="000877D7" w:rsidRPr="00242B3D">
        <w:rPr>
          <w:noProof/>
          <w:szCs w:val="24"/>
          <w:lang w:val="nb-NO"/>
        </w:rPr>
        <w:t xml:space="preserve">. </w:t>
      </w:r>
      <w:r w:rsidR="000877D7" w:rsidRPr="000877D7">
        <w:rPr>
          <w:noProof/>
          <w:szCs w:val="24"/>
        </w:rPr>
        <w:t>Determining the Equivalent Phosphorus Released by an Escherichia Coli -Derived Phytase in Broiler Chicks.</w:t>
      </w:r>
      <w:r w:rsidR="00242B3D">
        <w:rPr>
          <w:noProof/>
          <w:szCs w:val="24"/>
        </w:rPr>
        <w:t xml:space="preserve"> </w:t>
      </w:r>
      <w:r w:rsidR="000877D7" w:rsidRPr="000877D7">
        <w:rPr>
          <w:noProof/>
          <w:szCs w:val="24"/>
        </w:rPr>
        <w:t xml:space="preserve"> </w:t>
      </w:r>
      <w:r w:rsidR="000877D7" w:rsidRPr="000877D7">
        <w:rPr>
          <w:i/>
          <w:iCs/>
          <w:noProof/>
          <w:szCs w:val="24"/>
        </w:rPr>
        <w:t>Journal of Animal Science</w:t>
      </w:r>
      <w:r w:rsidR="000877D7" w:rsidRPr="000877D7">
        <w:rPr>
          <w:noProof/>
          <w:szCs w:val="24"/>
        </w:rPr>
        <w:t xml:space="preserve"> 84:437–44.</w:t>
      </w:r>
    </w:p>
    <w:p w:rsidR="000877D7" w:rsidRPr="000877D7" w:rsidRDefault="00242B3D" w:rsidP="000877D7">
      <w:pPr>
        <w:widowControl w:val="0"/>
        <w:autoSpaceDE w:val="0"/>
        <w:autoSpaceDN w:val="0"/>
        <w:adjustRightInd w:val="0"/>
        <w:spacing w:after="200" w:line="480" w:lineRule="auto"/>
        <w:ind w:left="480" w:hanging="480"/>
        <w:rPr>
          <w:noProof/>
          <w:szCs w:val="24"/>
        </w:rPr>
      </w:pPr>
      <w:r>
        <w:rPr>
          <w:noProof/>
          <w:szCs w:val="24"/>
        </w:rPr>
        <w:t>Akinmusire AS, O Adeola</w:t>
      </w:r>
      <w:r w:rsidR="000877D7" w:rsidRPr="000877D7">
        <w:rPr>
          <w:noProof/>
          <w:szCs w:val="24"/>
        </w:rPr>
        <w:t xml:space="preserve"> </w:t>
      </w:r>
      <w:r>
        <w:rPr>
          <w:noProof/>
          <w:szCs w:val="24"/>
        </w:rPr>
        <w:t>(</w:t>
      </w:r>
      <w:r w:rsidR="000877D7" w:rsidRPr="000877D7">
        <w:rPr>
          <w:noProof/>
          <w:szCs w:val="24"/>
        </w:rPr>
        <w:t>2009</w:t>
      </w:r>
      <w:r>
        <w:rPr>
          <w:noProof/>
          <w:szCs w:val="24"/>
        </w:rPr>
        <w:t>)</w:t>
      </w:r>
      <w:r w:rsidR="000877D7" w:rsidRPr="000877D7">
        <w:rPr>
          <w:noProof/>
          <w:szCs w:val="24"/>
        </w:rPr>
        <w:t>. True Digestibility of Phosphorus in Canola and Soybean Meals for Growing Pigs : Influence of Microbial Phytase.</w:t>
      </w:r>
      <w:r>
        <w:rPr>
          <w:noProof/>
          <w:szCs w:val="24"/>
        </w:rPr>
        <w:t xml:space="preserve"> </w:t>
      </w:r>
      <w:r w:rsidR="000877D7" w:rsidRPr="000877D7">
        <w:rPr>
          <w:i/>
          <w:iCs/>
          <w:noProof/>
          <w:szCs w:val="24"/>
        </w:rPr>
        <w:t>Journal of Animal Science</w:t>
      </w:r>
      <w:r w:rsidR="000877D7" w:rsidRPr="000877D7">
        <w:rPr>
          <w:noProof/>
          <w:szCs w:val="24"/>
        </w:rPr>
        <w:t xml:space="preserve"> 87:977–83.</w:t>
      </w:r>
    </w:p>
    <w:p w:rsidR="000877D7" w:rsidRPr="000877D7" w:rsidRDefault="00242B3D" w:rsidP="000877D7">
      <w:pPr>
        <w:widowControl w:val="0"/>
        <w:autoSpaceDE w:val="0"/>
        <w:autoSpaceDN w:val="0"/>
        <w:adjustRightInd w:val="0"/>
        <w:spacing w:after="200" w:line="480" w:lineRule="auto"/>
        <w:ind w:left="480" w:hanging="480"/>
        <w:rPr>
          <w:noProof/>
          <w:szCs w:val="24"/>
        </w:rPr>
      </w:pPr>
      <w:r>
        <w:rPr>
          <w:noProof/>
          <w:szCs w:val="24"/>
        </w:rPr>
        <w:t>Almaguer BL, RC Sulabo, Y Liu, HH Stein</w:t>
      </w:r>
      <w:r w:rsidR="000877D7" w:rsidRPr="000877D7">
        <w:rPr>
          <w:noProof/>
          <w:szCs w:val="24"/>
        </w:rPr>
        <w:t xml:space="preserve"> </w:t>
      </w:r>
      <w:r>
        <w:rPr>
          <w:noProof/>
          <w:szCs w:val="24"/>
        </w:rPr>
        <w:t>(</w:t>
      </w:r>
      <w:r w:rsidR="000877D7" w:rsidRPr="000877D7">
        <w:rPr>
          <w:noProof/>
          <w:szCs w:val="24"/>
        </w:rPr>
        <w:t>2014</w:t>
      </w:r>
      <w:r>
        <w:rPr>
          <w:noProof/>
          <w:szCs w:val="24"/>
        </w:rPr>
        <w:t>)</w:t>
      </w:r>
      <w:r w:rsidR="000877D7" w:rsidRPr="000877D7">
        <w:rPr>
          <w:noProof/>
          <w:szCs w:val="24"/>
        </w:rPr>
        <w:t xml:space="preserve">. Standardized Total Tract Digestibility of Phosphorus in Copra Meal, Palm Kernel Expellers, Palm Kernel Meal, and Soybean Meal Fed to Growing Pigs. </w:t>
      </w:r>
      <w:r w:rsidR="000877D7" w:rsidRPr="000877D7">
        <w:rPr>
          <w:i/>
          <w:iCs/>
          <w:noProof/>
          <w:szCs w:val="24"/>
        </w:rPr>
        <w:t>Journal of Animal Science</w:t>
      </w:r>
      <w:r w:rsidR="000877D7" w:rsidRPr="000877D7">
        <w:rPr>
          <w:noProof/>
          <w:szCs w:val="24"/>
        </w:rPr>
        <w:t xml:space="preserve"> 92(6):2473–80.</w:t>
      </w:r>
    </w:p>
    <w:p w:rsidR="000877D7" w:rsidRPr="000877D7" w:rsidRDefault="00242B3D" w:rsidP="000877D7">
      <w:pPr>
        <w:widowControl w:val="0"/>
        <w:autoSpaceDE w:val="0"/>
        <w:autoSpaceDN w:val="0"/>
        <w:adjustRightInd w:val="0"/>
        <w:spacing w:after="200" w:line="480" w:lineRule="auto"/>
        <w:ind w:left="480" w:hanging="480"/>
        <w:rPr>
          <w:noProof/>
          <w:szCs w:val="24"/>
        </w:rPr>
      </w:pPr>
      <w:r>
        <w:rPr>
          <w:noProof/>
          <w:szCs w:val="24"/>
        </w:rPr>
        <w:t>Almeida FN, HH Stein</w:t>
      </w:r>
      <w:r w:rsidR="000877D7" w:rsidRPr="000877D7">
        <w:rPr>
          <w:noProof/>
          <w:szCs w:val="24"/>
        </w:rPr>
        <w:t xml:space="preserve"> </w:t>
      </w:r>
      <w:r>
        <w:rPr>
          <w:noProof/>
          <w:szCs w:val="24"/>
        </w:rPr>
        <w:t>(</w:t>
      </w:r>
      <w:r w:rsidR="000877D7" w:rsidRPr="000877D7">
        <w:rPr>
          <w:noProof/>
          <w:szCs w:val="24"/>
        </w:rPr>
        <w:t>2010</w:t>
      </w:r>
      <w:r>
        <w:rPr>
          <w:noProof/>
          <w:szCs w:val="24"/>
        </w:rPr>
        <w:t>)</w:t>
      </w:r>
      <w:r w:rsidR="000877D7" w:rsidRPr="000877D7">
        <w:rPr>
          <w:noProof/>
          <w:szCs w:val="24"/>
        </w:rPr>
        <w:t xml:space="preserve">. Performance and Phosphorus Balance of Pigs Fed Diets Formulated on the Basis of Values for Standardized Total Tract Digestibility of Phosphorus. </w:t>
      </w:r>
      <w:r w:rsidR="000877D7" w:rsidRPr="000877D7">
        <w:rPr>
          <w:i/>
          <w:iCs/>
          <w:noProof/>
          <w:szCs w:val="24"/>
        </w:rPr>
        <w:t>American Society of Animal Science</w:t>
      </w:r>
      <w:r w:rsidR="000877D7" w:rsidRPr="000877D7">
        <w:rPr>
          <w:noProof/>
          <w:szCs w:val="24"/>
        </w:rPr>
        <w:t xml:space="preserve"> 88:2968–77.</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AOAC International</w:t>
      </w:r>
      <w:r w:rsidR="000877D7" w:rsidRPr="000877D7">
        <w:rPr>
          <w:noProof/>
          <w:szCs w:val="24"/>
        </w:rPr>
        <w:t xml:space="preserve"> </w:t>
      </w:r>
      <w:r>
        <w:rPr>
          <w:noProof/>
          <w:szCs w:val="24"/>
        </w:rPr>
        <w:t>(</w:t>
      </w:r>
      <w:r w:rsidR="000877D7" w:rsidRPr="000877D7">
        <w:rPr>
          <w:noProof/>
          <w:szCs w:val="24"/>
        </w:rPr>
        <w:t>2007</w:t>
      </w:r>
      <w:r>
        <w:rPr>
          <w:noProof/>
          <w:szCs w:val="24"/>
        </w:rPr>
        <w:t>)</w:t>
      </w:r>
      <w:r w:rsidR="000877D7" w:rsidRPr="000877D7">
        <w:rPr>
          <w:noProof/>
          <w:szCs w:val="24"/>
        </w:rPr>
        <w:t xml:space="preserve">. </w:t>
      </w:r>
      <w:r w:rsidR="000877D7" w:rsidRPr="000877D7">
        <w:rPr>
          <w:i/>
          <w:iCs/>
          <w:noProof/>
          <w:szCs w:val="24"/>
        </w:rPr>
        <w:t>Official Methods of Analysis. 18th Ed. Hortwitz W, Latimer Jr., GW, Editors.</w:t>
      </w:r>
      <w:r w:rsidR="000877D7" w:rsidRPr="000877D7">
        <w:rPr>
          <w:noProof/>
          <w:szCs w:val="24"/>
        </w:rPr>
        <w:t xml:space="preserve"> Gaithersburg, MD, USA:AOAC international.</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 xml:space="preserve">Dayyani </w:t>
      </w:r>
      <w:r w:rsidR="000877D7" w:rsidRPr="000877D7">
        <w:rPr>
          <w:noProof/>
          <w:szCs w:val="24"/>
        </w:rPr>
        <w:t xml:space="preserve"> Nematollah, Morteza Beyk</w:t>
      </w:r>
      <w:r>
        <w:rPr>
          <w:noProof/>
          <w:szCs w:val="24"/>
        </w:rPr>
        <w:t>i, Bandar Abadi, Ahmad Amir, Abadi Farhani</w:t>
      </w:r>
      <w:r w:rsidR="000877D7" w:rsidRPr="000877D7">
        <w:rPr>
          <w:noProof/>
          <w:szCs w:val="24"/>
        </w:rPr>
        <w:t xml:space="preserve"> </w:t>
      </w:r>
      <w:r>
        <w:rPr>
          <w:noProof/>
          <w:szCs w:val="24"/>
        </w:rPr>
        <w:t>(</w:t>
      </w:r>
      <w:r w:rsidR="000877D7" w:rsidRPr="000877D7">
        <w:rPr>
          <w:noProof/>
          <w:szCs w:val="24"/>
        </w:rPr>
        <w:t>2013</w:t>
      </w:r>
      <w:r>
        <w:rPr>
          <w:noProof/>
          <w:szCs w:val="24"/>
        </w:rPr>
        <w:t>)</w:t>
      </w:r>
      <w:r w:rsidR="000877D7" w:rsidRPr="000877D7">
        <w:rPr>
          <w:noProof/>
          <w:szCs w:val="24"/>
        </w:rPr>
        <w:t>. Phytate and Phytase in Poultry Nutrition. 1(11):1403–8.</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Dilger RN, O Adeola (</w:t>
      </w:r>
      <w:r w:rsidR="000877D7" w:rsidRPr="000877D7">
        <w:rPr>
          <w:noProof/>
          <w:szCs w:val="24"/>
        </w:rPr>
        <w:t>2006</w:t>
      </w:r>
      <w:r>
        <w:rPr>
          <w:noProof/>
          <w:szCs w:val="24"/>
        </w:rPr>
        <w:t>)</w:t>
      </w:r>
      <w:r w:rsidR="000877D7" w:rsidRPr="000877D7">
        <w:rPr>
          <w:noProof/>
          <w:szCs w:val="24"/>
        </w:rPr>
        <w:t xml:space="preserve">. Estimation of True Phosphorus Digestibility and Endogenous Phosphorus Loss in Growing Chicks Fed Conventional and Low-Phytate Soybean Meals. </w:t>
      </w:r>
      <w:r w:rsidR="000877D7" w:rsidRPr="000877D7">
        <w:rPr>
          <w:i/>
          <w:iCs/>
          <w:noProof/>
          <w:szCs w:val="24"/>
        </w:rPr>
        <w:t>Poultry Science</w:t>
      </w:r>
      <w:r>
        <w:rPr>
          <w:noProof/>
          <w:szCs w:val="24"/>
        </w:rPr>
        <w:t xml:space="preserve"> 85</w:t>
      </w:r>
      <w:r w:rsidR="000877D7" w:rsidRPr="000877D7">
        <w:rPr>
          <w:noProof/>
          <w:szCs w:val="24"/>
        </w:rPr>
        <w:t>:661–68.</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lastRenderedPageBreak/>
        <w:t>Dilger RN, O Adeola</w:t>
      </w:r>
      <w:r w:rsidR="000877D7" w:rsidRPr="000877D7">
        <w:rPr>
          <w:noProof/>
          <w:szCs w:val="24"/>
        </w:rPr>
        <w:t xml:space="preserve"> </w:t>
      </w:r>
      <w:r>
        <w:rPr>
          <w:noProof/>
          <w:szCs w:val="24"/>
        </w:rPr>
        <w:t>(</w:t>
      </w:r>
      <w:r w:rsidR="000877D7" w:rsidRPr="000877D7">
        <w:rPr>
          <w:noProof/>
          <w:szCs w:val="24"/>
        </w:rPr>
        <w:t>2006</w:t>
      </w:r>
      <w:r>
        <w:rPr>
          <w:noProof/>
          <w:szCs w:val="24"/>
        </w:rPr>
        <w:t>)</w:t>
      </w:r>
      <w:r w:rsidR="000877D7" w:rsidRPr="000877D7">
        <w:rPr>
          <w:noProof/>
          <w:szCs w:val="24"/>
        </w:rPr>
        <w:t xml:space="preserve">. Estimation of True Phosphorus Digestibility and Endogenous Phosphorus Loss in Growing Pigs Fed Conventional and Low-Phytate Soybean Meals. </w:t>
      </w:r>
      <w:r w:rsidR="000877D7" w:rsidRPr="000877D7">
        <w:rPr>
          <w:i/>
          <w:iCs/>
          <w:noProof/>
          <w:szCs w:val="24"/>
        </w:rPr>
        <w:t>Journal of Animal Science</w:t>
      </w:r>
      <w:r w:rsidR="000877D7" w:rsidRPr="000877D7">
        <w:rPr>
          <w:noProof/>
          <w:szCs w:val="24"/>
        </w:rPr>
        <w:t xml:space="preserve"> 84(3):627–34.</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Eeckhout W, MDe Paepe</w:t>
      </w:r>
      <w:r w:rsidR="000877D7" w:rsidRPr="000877D7">
        <w:rPr>
          <w:noProof/>
          <w:szCs w:val="24"/>
        </w:rPr>
        <w:t xml:space="preserve"> </w:t>
      </w:r>
      <w:r>
        <w:rPr>
          <w:noProof/>
          <w:szCs w:val="24"/>
        </w:rPr>
        <w:t>(</w:t>
      </w:r>
      <w:r w:rsidR="000877D7" w:rsidRPr="000877D7">
        <w:rPr>
          <w:noProof/>
          <w:szCs w:val="24"/>
        </w:rPr>
        <w:t>1994</w:t>
      </w:r>
      <w:r>
        <w:rPr>
          <w:noProof/>
          <w:szCs w:val="24"/>
        </w:rPr>
        <w:t>)</w:t>
      </w:r>
      <w:r w:rsidR="000877D7" w:rsidRPr="000877D7">
        <w:rPr>
          <w:noProof/>
          <w:szCs w:val="24"/>
        </w:rPr>
        <w:t>. Total Phosphorus, Phytate-Phosphorus and Phytase Activity in Plant Feedstuffs.</w:t>
      </w:r>
      <w:r>
        <w:rPr>
          <w:noProof/>
          <w:szCs w:val="24"/>
        </w:rPr>
        <w:t xml:space="preserve"> </w:t>
      </w:r>
      <w:r w:rsidR="000877D7" w:rsidRPr="000877D7">
        <w:rPr>
          <w:noProof/>
          <w:szCs w:val="24"/>
        </w:rPr>
        <w:t xml:space="preserve"> </w:t>
      </w:r>
      <w:r w:rsidR="000877D7" w:rsidRPr="000877D7">
        <w:rPr>
          <w:i/>
          <w:iCs/>
          <w:noProof/>
          <w:szCs w:val="24"/>
        </w:rPr>
        <w:t>Animal Feed Science and Technology</w:t>
      </w:r>
      <w:r w:rsidR="000877D7" w:rsidRPr="000877D7">
        <w:rPr>
          <w:noProof/>
          <w:szCs w:val="24"/>
        </w:rPr>
        <w:t xml:space="preserve"> 47(1–2):19–29.</w:t>
      </w:r>
    </w:p>
    <w:p w:rsidR="000877D7" w:rsidRPr="000877D7" w:rsidRDefault="007B1891" w:rsidP="007B1891">
      <w:pPr>
        <w:widowControl w:val="0"/>
        <w:autoSpaceDE w:val="0"/>
        <w:autoSpaceDN w:val="0"/>
        <w:adjustRightInd w:val="0"/>
        <w:spacing w:after="200" w:line="480" w:lineRule="auto"/>
        <w:ind w:left="480" w:hanging="480"/>
        <w:rPr>
          <w:noProof/>
          <w:szCs w:val="24"/>
        </w:rPr>
      </w:pPr>
      <w:r>
        <w:rPr>
          <w:noProof/>
          <w:szCs w:val="24"/>
        </w:rPr>
        <w:t>Englen AJ</w:t>
      </w:r>
      <w:r w:rsidR="000877D7" w:rsidRPr="000877D7">
        <w:rPr>
          <w:noProof/>
          <w:szCs w:val="24"/>
        </w:rPr>
        <w:t>, FC</w:t>
      </w:r>
      <w:r>
        <w:rPr>
          <w:noProof/>
          <w:szCs w:val="24"/>
        </w:rPr>
        <w:t xml:space="preserve"> Heeft van der, PH Randsdrop, WA Somers, Schaefer J, BJ vat van der</w:t>
      </w:r>
      <w:r w:rsidR="000877D7" w:rsidRPr="000877D7">
        <w:rPr>
          <w:noProof/>
          <w:szCs w:val="24"/>
        </w:rPr>
        <w:t xml:space="preserve"> </w:t>
      </w:r>
      <w:r>
        <w:rPr>
          <w:noProof/>
          <w:szCs w:val="24"/>
        </w:rPr>
        <w:t>(</w:t>
      </w:r>
      <w:r w:rsidR="000877D7" w:rsidRPr="000877D7">
        <w:rPr>
          <w:noProof/>
          <w:szCs w:val="24"/>
        </w:rPr>
        <w:t>2001</w:t>
      </w:r>
      <w:r>
        <w:rPr>
          <w:noProof/>
          <w:szCs w:val="24"/>
        </w:rPr>
        <w:t xml:space="preserve">). </w:t>
      </w:r>
      <w:r w:rsidR="000877D7" w:rsidRPr="000877D7">
        <w:rPr>
          <w:noProof/>
          <w:szCs w:val="24"/>
        </w:rPr>
        <w:t>Determination of Phytase Activity in Feed by a Colorimetric Enzymatic Method: Collaborative Interlaboratory Study.</w:t>
      </w:r>
      <w:r>
        <w:rPr>
          <w:noProof/>
          <w:szCs w:val="24"/>
        </w:rPr>
        <w:t xml:space="preserve"> </w:t>
      </w:r>
      <w:r w:rsidR="000877D7" w:rsidRPr="000877D7">
        <w:rPr>
          <w:i/>
          <w:iCs/>
          <w:noProof/>
          <w:szCs w:val="24"/>
        </w:rPr>
        <w:t>Journal of AOAC International</w:t>
      </w:r>
      <w:r w:rsidR="000877D7" w:rsidRPr="000877D7">
        <w:rPr>
          <w:noProof/>
          <w:szCs w:val="24"/>
        </w:rPr>
        <w:t xml:space="preserve"> 84(3):629–33.</w:t>
      </w:r>
    </w:p>
    <w:p w:rsidR="000877D7" w:rsidRPr="000877D7" w:rsidRDefault="000877D7" w:rsidP="007B1891">
      <w:pPr>
        <w:widowControl w:val="0"/>
        <w:autoSpaceDE w:val="0"/>
        <w:autoSpaceDN w:val="0"/>
        <w:adjustRightInd w:val="0"/>
        <w:spacing w:after="200" w:line="480" w:lineRule="auto"/>
        <w:ind w:left="480" w:hanging="480"/>
        <w:rPr>
          <w:noProof/>
          <w:szCs w:val="24"/>
        </w:rPr>
      </w:pPr>
      <w:r w:rsidRPr="000877D7">
        <w:rPr>
          <w:noProof/>
          <w:szCs w:val="24"/>
        </w:rPr>
        <w:t>Fa</w:t>
      </w:r>
      <w:r w:rsidR="007B1891">
        <w:rPr>
          <w:noProof/>
          <w:szCs w:val="24"/>
        </w:rPr>
        <w:t>n MZ, T Archbold, WC Sauer, D Lackeyram, T Rideout, Y Gao, CF de Lange, RR</w:t>
      </w:r>
      <w:r w:rsidRPr="000877D7">
        <w:rPr>
          <w:noProof/>
          <w:szCs w:val="24"/>
        </w:rPr>
        <w:t xml:space="preserve"> Hacker </w:t>
      </w:r>
      <w:r w:rsidR="007B1891">
        <w:rPr>
          <w:noProof/>
          <w:szCs w:val="24"/>
        </w:rPr>
        <w:t>(</w:t>
      </w:r>
      <w:r w:rsidRPr="000877D7">
        <w:rPr>
          <w:noProof/>
          <w:szCs w:val="24"/>
        </w:rPr>
        <w:t>2001</w:t>
      </w:r>
      <w:r w:rsidR="007B1891">
        <w:rPr>
          <w:noProof/>
          <w:szCs w:val="24"/>
        </w:rPr>
        <w:t>)</w:t>
      </w:r>
      <w:r w:rsidRPr="000877D7">
        <w:rPr>
          <w:noProof/>
          <w:szCs w:val="24"/>
        </w:rPr>
        <w:t xml:space="preserve">. Novel Methodology Allows Simultaneous Measurement of True Phosphorus Digestibility and the Gastrointestinal Endogenous Phosphorus Outputs in Studies with Pigs. </w:t>
      </w:r>
      <w:r w:rsidRPr="000877D7">
        <w:rPr>
          <w:i/>
          <w:iCs/>
          <w:noProof/>
          <w:szCs w:val="24"/>
        </w:rPr>
        <w:t>The Journal of Nutrition</w:t>
      </w:r>
      <w:r w:rsidRPr="000877D7">
        <w:rPr>
          <w:noProof/>
          <w:szCs w:val="24"/>
        </w:rPr>
        <w:t xml:space="preserve"> 131(9):2388–96.</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Fang RJ, TJ Li, FG Yin, YL Yin, XF Kong, KN Wang, Z Yuan, GY Wu, JH He, ZY Deng, MZ Fan</w:t>
      </w:r>
      <w:r w:rsidR="000877D7" w:rsidRPr="000877D7">
        <w:rPr>
          <w:noProof/>
          <w:szCs w:val="24"/>
        </w:rPr>
        <w:t xml:space="preserve"> </w:t>
      </w:r>
      <w:r>
        <w:rPr>
          <w:noProof/>
          <w:szCs w:val="24"/>
        </w:rPr>
        <w:t>(</w:t>
      </w:r>
      <w:r w:rsidR="000877D7" w:rsidRPr="000877D7">
        <w:rPr>
          <w:noProof/>
          <w:szCs w:val="24"/>
        </w:rPr>
        <w:t>2007</w:t>
      </w:r>
      <w:r>
        <w:rPr>
          <w:noProof/>
          <w:szCs w:val="24"/>
        </w:rPr>
        <w:t>)</w:t>
      </w:r>
      <w:r w:rsidR="000877D7" w:rsidRPr="000877D7">
        <w:rPr>
          <w:noProof/>
          <w:szCs w:val="24"/>
        </w:rPr>
        <w:t>. The Additivity of True or Apparent Phosphorus Digestibility Values in Some Feed Ingredients for Growing Pigs. 20(7):1092–99.</w:t>
      </w:r>
    </w:p>
    <w:p w:rsidR="000877D7" w:rsidRPr="000877D7" w:rsidRDefault="007B1891" w:rsidP="000877D7">
      <w:pPr>
        <w:widowControl w:val="0"/>
        <w:autoSpaceDE w:val="0"/>
        <w:autoSpaceDN w:val="0"/>
        <w:adjustRightInd w:val="0"/>
        <w:spacing w:after="200" w:line="480" w:lineRule="auto"/>
        <w:ind w:left="480" w:hanging="480"/>
        <w:rPr>
          <w:noProof/>
          <w:szCs w:val="24"/>
        </w:rPr>
      </w:pPr>
      <w:r>
        <w:rPr>
          <w:noProof/>
          <w:szCs w:val="24"/>
        </w:rPr>
        <w:t>Iyayi EA, O Adeola</w:t>
      </w:r>
      <w:r w:rsidR="000877D7" w:rsidRPr="000877D7">
        <w:rPr>
          <w:noProof/>
          <w:szCs w:val="24"/>
        </w:rPr>
        <w:t xml:space="preserve"> </w:t>
      </w:r>
      <w:r>
        <w:rPr>
          <w:noProof/>
          <w:szCs w:val="24"/>
        </w:rPr>
        <w:t>(</w:t>
      </w:r>
      <w:r w:rsidR="000877D7" w:rsidRPr="000877D7">
        <w:rPr>
          <w:noProof/>
          <w:szCs w:val="24"/>
        </w:rPr>
        <w:t>2013</w:t>
      </w:r>
      <w:r>
        <w:rPr>
          <w:noProof/>
          <w:szCs w:val="24"/>
        </w:rPr>
        <w:t>)</w:t>
      </w:r>
      <w:r w:rsidR="000877D7" w:rsidRPr="000877D7">
        <w:rPr>
          <w:noProof/>
          <w:szCs w:val="24"/>
        </w:rPr>
        <w:t>. True Phosphorus Digestibility of Black-Eyed Pea and Peanut Flour without or with Phytase Suppl</w:t>
      </w:r>
      <w:r w:rsidR="00D65F29">
        <w:rPr>
          <w:noProof/>
          <w:szCs w:val="24"/>
        </w:rPr>
        <w:t>ementation in Broiler Chickens.</w:t>
      </w:r>
      <w:r w:rsidR="000877D7" w:rsidRPr="000877D7">
        <w:rPr>
          <w:noProof/>
          <w:szCs w:val="24"/>
        </w:rPr>
        <w:t xml:space="preserve"> </w:t>
      </w:r>
      <w:r w:rsidR="000877D7" w:rsidRPr="000877D7">
        <w:rPr>
          <w:i/>
          <w:iCs/>
          <w:noProof/>
          <w:szCs w:val="24"/>
        </w:rPr>
        <w:t>Poultry Science</w:t>
      </w:r>
      <w:r w:rsidR="000877D7" w:rsidRPr="000877D7">
        <w:rPr>
          <w:noProof/>
          <w:szCs w:val="24"/>
        </w:rPr>
        <w:t xml:space="preserve"> 92(2009):1595–1603.</w:t>
      </w:r>
    </w:p>
    <w:p w:rsidR="000877D7" w:rsidRPr="000877D7" w:rsidRDefault="00D65F29" w:rsidP="000877D7">
      <w:pPr>
        <w:widowControl w:val="0"/>
        <w:autoSpaceDE w:val="0"/>
        <w:autoSpaceDN w:val="0"/>
        <w:adjustRightInd w:val="0"/>
        <w:spacing w:after="200" w:line="480" w:lineRule="auto"/>
        <w:ind w:left="480" w:hanging="480"/>
        <w:rPr>
          <w:noProof/>
          <w:szCs w:val="24"/>
        </w:rPr>
      </w:pPr>
      <w:r w:rsidRPr="002C3725">
        <w:rPr>
          <w:noProof/>
          <w:szCs w:val="24"/>
        </w:rPr>
        <w:t>Keulen J Van,  BA Young</w:t>
      </w:r>
      <w:r w:rsidR="000877D7" w:rsidRPr="002C3725">
        <w:rPr>
          <w:noProof/>
          <w:szCs w:val="24"/>
        </w:rPr>
        <w:t xml:space="preserve"> </w:t>
      </w:r>
      <w:r w:rsidRPr="002C3725">
        <w:rPr>
          <w:noProof/>
          <w:szCs w:val="24"/>
        </w:rPr>
        <w:t>(</w:t>
      </w:r>
      <w:r w:rsidR="000877D7" w:rsidRPr="002C3725">
        <w:rPr>
          <w:noProof/>
          <w:szCs w:val="24"/>
        </w:rPr>
        <w:t>1977</w:t>
      </w:r>
      <w:r w:rsidRPr="002C3725">
        <w:rPr>
          <w:noProof/>
          <w:szCs w:val="24"/>
        </w:rPr>
        <w:t>)</w:t>
      </w:r>
      <w:r w:rsidR="000877D7" w:rsidRPr="002C3725">
        <w:rPr>
          <w:noProof/>
          <w:szCs w:val="24"/>
        </w:rPr>
        <w:t xml:space="preserve">. </w:t>
      </w:r>
      <w:r w:rsidR="000877D7" w:rsidRPr="000877D7">
        <w:rPr>
          <w:noProof/>
          <w:szCs w:val="24"/>
        </w:rPr>
        <w:t xml:space="preserve">Evaluation of Acid-Insoluble Ash as a Natural Marker in </w:t>
      </w:r>
      <w:r>
        <w:rPr>
          <w:noProof/>
          <w:szCs w:val="24"/>
        </w:rPr>
        <w:t xml:space="preserve">Ruminant Digestibility Studies. </w:t>
      </w:r>
      <w:r w:rsidR="000877D7" w:rsidRPr="000877D7">
        <w:rPr>
          <w:noProof/>
          <w:szCs w:val="24"/>
        </w:rPr>
        <w:t xml:space="preserve"> </w:t>
      </w:r>
      <w:r w:rsidR="000877D7" w:rsidRPr="000877D7">
        <w:rPr>
          <w:i/>
          <w:iCs/>
          <w:noProof/>
          <w:szCs w:val="24"/>
        </w:rPr>
        <w:t>Journal of Animal Science</w:t>
      </w:r>
      <w:r w:rsidR="000877D7" w:rsidRPr="000877D7">
        <w:rPr>
          <w:noProof/>
          <w:szCs w:val="24"/>
        </w:rPr>
        <w:t xml:space="preserve"> 44(2):282–87.</w:t>
      </w:r>
    </w:p>
    <w:p w:rsidR="000877D7" w:rsidRPr="000877D7" w:rsidRDefault="009A197D" w:rsidP="000877D7">
      <w:pPr>
        <w:widowControl w:val="0"/>
        <w:autoSpaceDE w:val="0"/>
        <w:autoSpaceDN w:val="0"/>
        <w:adjustRightInd w:val="0"/>
        <w:spacing w:after="200" w:line="480" w:lineRule="auto"/>
        <w:ind w:left="480" w:hanging="480"/>
        <w:rPr>
          <w:noProof/>
          <w:szCs w:val="24"/>
        </w:rPr>
      </w:pPr>
      <w:r>
        <w:rPr>
          <w:noProof/>
          <w:szCs w:val="24"/>
        </w:rPr>
        <w:lastRenderedPageBreak/>
        <w:t>Leske KL, CN Coon</w:t>
      </w:r>
      <w:r w:rsidR="000877D7" w:rsidRPr="000877D7">
        <w:rPr>
          <w:noProof/>
          <w:szCs w:val="24"/>
        </w:rPr>
        <w:t xml:space="preserve"> </w:t>
      </w:r>
      <w:r>
        <w:rPr>
          <w:noProof/>
          <w:szCs w:val="24"/>
        </w:rPr>
        <w:t>(</w:t>
      </w:r>
      <w:r w:rsidR="000877D7" w:rsidRPr="000877D7">
        <w:rPr>
          <w:noProof/>
          <w:szCs w:val="24"/>
        </w:rPr>
        <w:t>1999</w:t>
      </w:r>
      <w:r>
        <w:rPr>
          <w:noProof/>
          <w:szCs w:val="24"/>
        </w:rPr>
        <w:t xml:space="preserve">). </w:t>
      </w:r>
      <w:r w:rsidR="000877D7" w:rsidRPr="000877D7">
        <w:rPr>
          <w:noProof/>
          <w:szCs w:val="24"/>
        </w:rPr>
        <w:t>A Bioassay to Determine the Effect of Phytase on Phytate Phosphorus Hydrolysis and Total Phosphorus Retention of Feed Ingredients as Determined</w:t>
      </w:r>
      <w:r>
        <w:rPr>
          <w:noProof/>
          <w:szCs w:val="24"/>
        </w:rPr>
        <w:t xml:space="preserve"> with Broilers and Laying Hens.</w:t>
      </w:r>
      <w:r w:rsidR="000877D7" w:rsidRPr="000877D7">
        <w:rPr>
          <w:noProof/>
          <w:szCs w:val="24"/>
        </w:rPr>
        <w:t xml:space="preserve"> </w:t>
      </w:r>
      <w:r w:rsidR="000877D7" w:rsidRPr="000877D7">
        <w:rPr>
          <w:i/>
          <w:iCs/>
          <w:noProof/>
          <w:szCs w:val="24"/>
        </w:rPr>
        <w:t>Poultry Science</w:t>
      </w:r>
      <w:r w:rsidR="000877D7" w:rsidRPr="000877D7">
        <w:rPr>
          <w:noProof/>
          <w:szCs w:val="24"/>
        </w:rPr>
        <w:t xml:space="preserve"> 78(8):1151–57.</w:t>
      </w:r>
    </w:p>
    <w:p w:rsidR="000877D7" w:rsidRPr="000877D7" w:rsidRDefault="009A197D" w:rsidP="009A197D">
      <w:pPr>
        <w:widowControl w:val="0"/>
        <w:autoSpaceDE w:val="0"/>
        <w:autoSpaceDN w:val="0"/>
        <w:adjustRightInd w:val="0"/>
        <w:spacing w:after="200" w:line="480" w:lineRule="auto"/>
        <w:ind w:left="480" w:hanging="480"/>
        <w:rPr>
          <w:noProof/>
          <w:szCs w:val="24"/>
        </w:rPr>
      </w:pPr>
      <w:r>
        <w:rPr>
          <w:noProof/>
          <w:szCs w:val="24"/>
        </w:rPr>
        <w:t>Leytem AB, BP Willing, PA Thacker</w:t>
      </w:r>
      <w:r w:rsidR="000877D7" w:rsidRPr="000877D7">
        <w:rPr>
          <w:noProof/>
          <w:szCs w:val="24"/>
        </w:rPr>
        <w:t xml:space="preserve"> </w:t>
      </w:r>
      <w:r>
        <w:rPr>
          <w:noProof/>
          <w:szCs w:val="24"/>
        </w:rPr>
        <w:t>(</w:t>
      </w:r>
      <w:r w:rsidR="000877D7" w:rsidRPr="000877D7">
        <w:rPr>
          <w:noProof/>
          <w:szCs w:val="24"/>
        </w:rPr>
        <w:t>2008</w:t>
      </w:r>
      <w:r>
        <w:rPr>
          <w:noProof/>
          <w:szCs w:val="24"/>
        </w:rPr>
        <w:t xml:space="preserve">). </w:t>
      </w:r>
      <w:r w:rsidR="000877D7" w:rsidRPr="000877D7">
        <w:rPr>
          <w:noProof/>
          <w:szCs w:val="24"/>
        </w:rPr>
        <w:t xml:space="preserve">Phytate Utilization and Phosphorus Excretion by Broiler Chickens Fed Diets Containing Cereal Grains Varying in Phytate and </w:t>
      </w:r>
      <w:r>
        <w:rPr>
          <w:noProof/>
          <w:szCs w:val="24"/>
        </w:rPr>
        <w:t>Phytase Content.</w:t>
      </w:r>
      <w:r w:rsidR="000877D7" w:rsidRPr="000877D7">
        <w:rPr>
          <w:noProof/>
          <w:szCs w:val="24"/>
        </w:rPr>
        <w:t xml:space="preserve"> </w:t>
      </w:r>
      <w:r w:rsidR="000877D7" w:rsidRPr="000877D7">
        <w:rPr>
          <w:i/>
          <w:iCs/>
          <w:noProof/>
          <w:szCs w:val="24"/>
        </w:rPr>
        <w:t>Animal Feed Science and Technology</w:t>
      </w:r>
      <w:r w:rsidR="000877D7" w:rsidRPr="000877D7">
        <w:rPr>
          <w:noProof/>
          <w:szCs w:val="24"/>
        </w:rPr>
        <w:t xml:space="preserve"> 146(1–2):160–68.</w:t>
      </w:r>
    </w:p>
    <w:p w:rsidR="000877D7" w:rsidRPr="000877D7" w:rsidRDefault="009A197D" w:rsidP="000877D7">
      <w:pPr>
        <w:widowControl w:val="0"/>
        <w:autoSpaceDE w:val="0"/>
        <w:autoSpaceDN w:val="0"/>
        <w:adjustRightInd w:val="0"/>
        <w:spacing w:after="200" w:line="480" w:lineRule="auto"/>
        <w:ind w:left="480" w:hanging="480"/>
        <w:rPr>
          <w:noProof/>
          <w:szCs w:val="24"/>
        </w:rPr>
      </w:pPr>
      <w:r>
        <w:rPr>
          <w:noProof/>
          <w:szCs w:val="24"/>
        </w:rPr>
        <w:t>Liu</w:t>
      </w:r>
      <w:r w:rsidR="00635DB1">
        <w:rPr>
          <w:noProof/>
          <w:szCs w:val="24"/>
        </w:rPr>
        <w:t xml:space="preserve"> </w:t>
      </w:r>
      <w:r>
        <w:rPr>
          <w:noProof/>
          <w:szCs w:val="24"/>
        </w:rPr>
        <w:t>JB, DW Chen, O</w:t>
      </w:r>
      <w:r w:rsidR="00635DB1">
        <w:rPr>
          <w:noProof/>
          <w:szCs w:val="24"/>
        </w:rPr>
        <w:t xml:space="preserve"> Adeola</w:t>
      </w:r>
      <w:r w:rsidR="000877D7" w:rsidRPr="000877D7">
        <w:rPr>
          <w:noProof/>
          <w:szCs w:val="24"/>
        </w:rPr>
        <w:t xml:space="preserve"> </w:t>
      </w:r>
      <w:r>
        <w:rPr>
          <w:noProof/>
          <w:szCs w:val="24"/>
        </w:rPr>
        <w:t>(</w:t>
      </w:r>
      <w:r w:rsidR="000877D7" w:rsidRPr="000877D7">
        <w:rPr>
          <w:noProof/>
          <w:szCs w:val="24"/>
        </w:rPr>
        <w:t>2014</w:t>
      </w:r>
      <w:r>
        <w:rPr>
          <w:noProof/>
          <w:szCs w:val="24"/>
        </w:rPr>
        <w:t xml:space="preserve">). </w:t>
      </w:r>
      <w:r w:rsidR="000877D7" w:rsidRPr="000877D7">
        <w:rPr>
          <w:noProof/>
          <w:szCs w:val="24"/>
        </w:rPr>
        <w:t>Casein Supplementation Does Not Affect True Phosphorus Digestibility and Endogenous Phosphorus Loss Associated with Soybean Meal for Broiler Chickens Determ</w:t>
      </w:r>
      <w:r>
        <w:rPr>
          <w:noProof/>
          <w:szCs w:val="24"/>
        </w:rPr>
        <w:t xml:space="preserve">ined by the Regression Method. </w:t>
      </w:r>
      <w:r w:rsidR="000877D7" w:rsidRPr="000877D7">
        <w:rPr>
          <w:i/>
          <w:iCs/>
          <w:noProof/>
          <w:szCs w:val="24"/>
        </w:rPr>
        <w:t>Can. J. Anim. Sci.</w:t>
      </w:r>
      <w:r w:rsidR="000877D7" w:rsidRPr="000877D7">
        <w:rPr>
          <w:noProof/>
          <w:szCs w:val="24"/>
        </w:rPr>
        <w:t xml:space="preserve"> 94(4):661–68.</w:t>
      </w:r>
    </w:p>
    <w:p w:rsidR="000877D7" w:rsidRPr="000877D7" w:rsidRDefault="00635DB1" w:rsidP="000877D7">
      <w:pPr>
        <w:widowControl w:val="0"/>
        <w:autoSpaceDE w:val="0"/>
        <w:autoSpaceDN w:val="0"/>
        <w:adjustRightInd w:val="0"/>
        <w:spacing w:after="200" w:line="480" w:lineRule="auto"/>
        <w:ind w:left="480" w:hanging="480"/>
        <w:rPr>
          <w:noProof/>
          <w:szCs w:val="24"/>
        </w:rPr>
      </w:pPr>
      <w:r>
        <w:rPr>
          <w:noProof/>
          <w:szCs w:val="24"/>
        </w:rPr>
        <w:t>Liu JB, DW Chen, O Adeola</w:t>
      </w:r>
      <w:r w:rsidR="000877D7" w:rsidRPr="000877D7">
        <w:rPr>
          <w:noProof/>
          <w:szCs w:val="24"/>
        </w:rPr>
        <w:t xml:space="preserve"> </w:t>
      </w:r>
      <w:r>
        <w:rPr>
          <w:noProof/>
          <w:szCs w:val="24"/>
        </w:rPr>
        <w:t>(</w:t>
      </w:r>
      <w:r w:rsidR="000877D7" w:rsidRPr="000877D7">
        <w:rPr>
          <w:noProof/>
          <w:szCs w:val="24"/>
        </w:rPr>
        <w:t>2013</w:t>
      </w:r>
      <w:r>
        <w:rPr>
          <w:noProof/>
          <w:szCs w:val="24"/>
        </w:rPr>
        <w:t xml:space="preserve">). </w:t>
      </w:r>
      <w:r w:rsidR="000877D7" w:rsidRPr="000877D7">
        <w:rPr>
          <w:noProof/>
          <w:szCs w:val="24"/>
        </w:rPr>
        <w:t>Phosphorus Digestibility Response of Broiler Chickens to Dietary Calcium-to-</w:t>
      </w:r>
      <w:r w:rsidR="00092DD9">
        <w:rPr>
          <w:noProof/>
          <w:szCs w:val="24"/>
        </w:rPr>
        <w:t>Phosphorus Ratios.</w:t>
      </w:r>
      <w:r w:rsidR="000877D7" w:rsidRPr="000877D7">
        <w:rPr>
          <w:noProof/>
          <w:szCs w:val="24"/>
        </w:rPr>
        <w:t xml:space="preserve"> </w:t>
      </w:r>
      <w:r w:rsidR="000877D7" w:rsidRPr="000877D7">
        <w:rPr>
          <w:i/>
          <w:iCs/>
          <w:noProof/>
          <w:szCs w:val="24"/>
        </w:rPr>
        <w:t>Poultry Science</w:t>
      </w:r>
      <w:r w:rsidR="000877D7" w:rsidRPr="000877D7">
        <w:rPr>
          <w:noProof/>
          <w:szCs w:val="24"/>
        </w:rPr>
        <w:t xml:space="preserve"> 92:1572–78.</w:t>
      </w:r>
    </w:p>
    <w:p w:rsidR="000877D7" w:rsidRPr="000877D7" w:rsidRDefault="00092DD9" w:rsidP="000877D7">
      <w:pPr>
        <w:widowControl w:val="0"/>
        <w:autoSpaceDE w:val="0"/>
        <w:autoSpaceDN w:val="0"/>
        <w:adjustRightInd w:val="0"/>
        <w:spacing w:after="200" w:line="480" w:lineRule="auto"/>
        <w:ind w:left="480" w:hanging="480"/>
        <w:rPr>
          <w:noProof/>
          <w:szCs w:val="24"/>
        </w:rPr>
      </w:pPr>
      <w:r w:rsidRPr="00092DD9">
        <w:rPr>
          <w:noProof/>
          <w:szCs w:val="24"/>
        </w:rPr>
        <w:t>Liu SB, SF Li, L Lu, JJ</w:t>
      </w:r>
      <w:r w:rsidR="000877D7" w:rsidRPr="00092DD9">
        <w:rPr>
          <w:noProof/>
          <w:szCs w:val="24"/>
        </w:rPr>
        <w:t xml:space="preserve"> </w:t>
      </w:r>
      <w:r>
        <w:rPr>
          <w:noProof/>
          <w:szCs w:val="24"/>
        </w:rPr>
        <w:t>Xie, LY Zhang, XG Luo</w:t>
      </w:r>
      <w:r w:rsidR="000877D7" w:rsidRPr="000877D7">
        <w:rPr>
          <w:noProof/>
          <w:szCs w:val="24"/>
        </w:rPr>
        <w:t xml:space="preserve"> </w:t>
      </w:r>
      <w:r>
        <w:rPr>
          <w:noProof/>
          <w:szCs w:val="24"/>
        </w:rPr>
        <w:t>(</w:t>
      </w:r>
      <w:r w:rsidR="000877D7" w:rsidRPr="000877D7">
        <w:rPr>
          <w:noProof/>
          <w:szCs w:val="24"/>
        </w:rPr>
        <w:t>2012</w:t>
      </w:r>
      <w:r>
        <w:rPr>
          <w:noProof/>
          <w:szCs w:val="24"/>
        </w:rPr>
        <w:t xml:space="preserve">). </w:t>
      </w:r>
      <w:r w:rsidR="000877D7" w:rsidRPr="000877D7">
        <w:rPr>
          <w:noProof/>
          <w:szCs w:val="24"/>
        </w:rPr>
        <w:t>Estimation of Standardized Phosphorus Retention for Corn, Soybean Meal, and Corn</w:t>
      </w:r>
      <w:r>
        <w:rPr>
          <w:noProof/>
          <w:szCs w:val="24"/>
        </w:rPr>
        <w:t xml:space="preserve">-Soybean Meal Diet in Broilers. </w:t>
      </w:r>
      <w:r w:rsidR="000877D7" w:rsidRPr="000877D7">
        <w:rPr>
          <w:i/>
          <w:iCs/>
          <w:noProof/>
          <w:szCs w:val="24"/>
        </w:rPr>
        <w:t>Poultry Science</w:t>
      </w:r>
      <w:r w:rsidR="000877D7" w:rsidRPr="000877D7">
        <w:rPr>
          <w:noProof/>
          <w:szCs w:val="24"/>
        </w:rPr>
        <w:t xml:space="preserve"> 91(8):1879–85.</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Liu S, S Li, L Lu, J Xie, L Zhang, Y Jiang, X Luo</w:t>
      </w:r>
      <w:r w:rsidR="000877D7" w:rsidRPr="000877D7">
        <w:rPr>
          <w:noProof/>
          <w:szCs w:val="24"/>
        </w:rPr>
        <w:t xml:space="preserve"> </w:t>
      </w:r>
      <w:r>
        <w:rPr>
          <w:noProof/>
          <w:szCs w:val="24"/>
        </w:rPr>
        <w:t>(</w:t>
      </w:r>
      <w:r w:rsidR="000877D7" w:rsidRPr="000877D7">
        <w:rPr>
          <w:noProof/>
          <w:szCs w:val="24"/>
        </w:rPr>
        <w:t>2012</w:t>
      </w:r>
      <w:r>
        <w:rPr>
          <w:noProof/>
          <w:szCs w:val="24"/>
        </w:rPr>
        <w:t xml:space="preserve">). </w:t>
      </w:r>
      <w:r w:rsidR="000877D7" w:rsidRPr="000877D7">
        <w:rPr>
          <w:noProof/>
          <w:szCs w:val="24"/>
        </w:rPr>
        <w:t>Development of a Procedure to Determine Standardized Mineral Availabilities in S</w:t>
      </w:r>
      <w:r>
        <w:rPr>
          <w:noProof/>
          <w:szCs w:val="24"/>
        </w:rPr>
        <w:t>oybean Meal for Broiler Chicks.</w:t>
      </w:r>
      <w:r w:rsidR="000877D7" w:rsidRPr="000877D7">
        <w:rPr>
          <w:noProof/>
          <w:szCs w:val="24"/>
        </w:rPr>
        <w:t xml:space="preserve"> </w:t>
      </w:r>
      <w:r w:rsidR="000877D7" w:rsidRPr="000877D7">
        <w:rPr>
          <w:i/>
          <w:iCs/>
          <w:noProof/>
          <w:szCs w:val="24"/>
        </w:rPr>
        <w:t>Biological Trace Element Research</w:t>
      </w:r>
      <w:r w:rsidR="000877D7" w:rsidRPr="000877D7">
        <w:rPr>
          <w:noProof/>
          <w:szCs w:val="24"/>
        </w:rPr>
        <w:t xml:space="preserve"> 148(1):32–37.</w:t>
      </w:r>
    </w:p>
    <w:p w:rsidR="000877D7" w:rsidRPr="000877D7" w:rsidRDefault="000877D7" w:rsidP="000877D7">
      <w:pPr>
        <w:widowControl w:val="0"/>
        <w:autoSpaceDE w:val="0"/>
        <w:autoSpaceDN w:val="0"/>
        <w:adjustRightInd w:val="0"/>
        <w:spacing w:after="200" w:line="480" w:lineRule="auto"/>
        <w:ind w:left="480" w:hanging="480"/>
        <w:rPr>
          <w:noProof/>
          <w:szCs w:val="24"/>
        </w:rPr>
      </w:pPr>
      <w:r w:rsidRPr="000877D7">
        <w:rPr>
          <w:noProof/>
          <w:szCs w:val="24"/>
        </w:rPr>
        <w:t>Mutucumarana R</w:t>
      </w:r>
      <w:r w:rsidR="00092DD9">
        <w:rPr>
          <w:noProof/>
          <w:szCs w:val="24"/>
        </w:rPr>
        <w:t>K</w:t>
      </w:r>
      <w:r w:rsidRPr="000877D7">
        <w:rPr>
          <w:noProof/>
          <w:szCs w:val="24"/>
        </w:rPr>
        <w:t xml:space="preserve"> </w:t>
      </w:r>
      <w:r w:rsidR="00092DD9">
        <w:rPr>
          <w:noProof/>
          <w:szCs w:val="24"/>
        </w:rPr>
        <w:t>(</w:t>
      </w:r>
      <w:r w:rsidRPr="000877D7">
        <w:rPr>
          <w:noProof/>
          <w:szCs w:val="24"/>
        </w:rPr>
        <w:t>2014</w:t>
      </w:r>
      <w:r w:rsidR="00092DD9">
        <w:rPr>
          <w:noProof/>
          <w:szCs w:val="24"/>
        </w:rPr>
        <w:t xml:space="preserve">). </w:t>
      </w:r>
      <w:r w:rsidRPr="000877D7">
        <w:rPr>
          <w:noProof/>
          <w:szCs w:val="24"/>
        </w:rPr>
        <w:t>Measurment of True Ileal Phosphorus Digestibility in Feed Ingredie</w:t>
      </w:r>
      <w:r w:rsidR="00092DD9">
        <w:rPr>
          <w:noProof/>
          <w:szCs w:val="24"/>
        </w:rPr>
        <w:t>nts for Poultry [Dissertation].</w:t>
      </w:r>
      <w:r w:rsidRPr="000877D7">
        <w:rPr>
          <w:noProof/>
          <w:szCs w:val="24"/>
        </w:rPr>
        <w:t xml:space="preserve"> Massey Universtity, Palmerston North, New </w:t>
      </w:r>
      <w:r w:rsidRPr="000877D7">
        <w:rPr>
          <w:noProof/>
          <w:szCs w:val="24"/>
        </w:rPr>
        <w:lastRenderedPageBreak/>
        <w:t>Zealand.</w:t>
      </w:r>
    </w:p>
    <w:p w:rsidR="000877D7" w:rsidRPr="000877D7" w:rsidRDefault="00092DD9" w:rsidP="00092DD9">
      <w:pPr>
        <w:widowControl w:val="0"/>
        <w:autoSpaceDE w:val="0"/>
        <w:autoSpaceDN w:val="0"/>
        <w:adjustRightInd w:val="0"/>
        <w:spacing w:after="200" w:line="480" w:lineRule="auto"/>
        <w:ind w:left="480" w:hanging="480"/>
        <w:rPr>
          <w:noProof/>
          <w:szCs w:val="24"/>
        </w:rPr>
      </w:pPr>
      <w:r>
        <w:rPr>
          <w:noProof/>
          <w:szCs w:val="24"/>
        </w:rPr>
        <w:t>Mutucumarana RK, V Ravindran, G Ravindran A</w:t>
      </w:r>
      <w:r w:rsidR="000877D7" w:rsidRPr="000877D7">
        <w:rPr>
          <w:noProof/>
          <w:szCs w:val="24"/>
        </w:rPr>
        <w:t>J</w:t>
      </w:r>
      <w:r>
        <w:rPr>
          <w:noProof/>
          <w:szCs w:val="24"/>
        </w:rPr>
        <w:t xml:space="preserve"> Cowieson</w:t>
      </w:r>
      <w:r w:rsidR="000877D7" w:rsidRPr="000877D7">
        <w:rPr>
          <w:noProof/>
          <w:szCs w:val="24"/>
        </w:rPr>
        <w:t xml:space="preserve"> </w:t>
      </w:r>
      <w:r>
        <w:rPr>
          <w:noProof/>
          <w:szCs w:val="24"/>
        </w:rPr>
        <w:t>(</w:t>
      </w:r>
      <w:r w:rsidR="000877D7" w:rsidRPr="000877D7">
        <w:rPr>
          <w:noProof/>
          <w:szCs w:val="24"/>
        </w:rPr>
        <w:t>2014</w:t>
      </w:r>
      <w:r>
        <w:rPr>
          <w:noProof/>
          <w:szCs w:val="24"/>
        </w:rPr>
        <w:t xml:space="preserve">). </w:t>
      </w:r>
      <w:r w:rsidR="000877D7" w:rsidRPr="000877D7">
        <w:rPr>
          <w:noProof/>
          <w:szCs w:val="24"/>
        </w:rPr>
        <w:t>Measurement of True Ileal Digestibility of Phosphorus in Some Feed In</w:t>
      </w:r>
      <w:r>
        <w:rPr>
          <w:noProof/>
          <w:szCs w:val="24"/>
        </w:rPr>
        <w:t>gredients for Broiler Chickens.</w:t>
      </w:r>
      <w:r w:rsidR="000877D7" w:rsidRPr="000877D7">
        <w:rPr>
          <w:noProof/>
          <w:szCs w:val="24"/>
        </w:rPr>
        <w:t xml:space="preserve"> </w:t>
      </w:r>
      <w:r w:rsidR="000877D7" w:rsidRPr="000877D7">
        <w:rPr>
          <w:i/>
          <w:iCs/>
          <w:noProof/>
          <w:szCs w:val="24"/>
        </w:rPr>
        <w:t>American Society of Animal Science</w:t>
      </w:r>
      <w:r w:rsidR="000877D7" w:rsidRPr="000877D7">
        <w:rPr>
          <w:noProof/>
          <w:szCs w:val="24"/>
        </w:rPr>
        <w:t xml:space="preserve"> 92:5520–29.</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Nernberg LWJ</w:t>
      </w:r>
      <w:r w:rsidR="000877D7" w:rsidRPr="000877D7">
        <w:rPr>
          <w:noProof/>
          <w:szCs w:val="24"/>
        </w:rPr>
        <w:t xml:space="preserve"> </w:t>
      </w:r>
      <w:r>
        <w:rPr>
          <w:noProof/>
          <w:szCs w:val="24"/>
        </w:rPr>
        <w:t>(</w:t>
      </w:r>
      <w:r w:rsidR="000877D7" w:rsidRPr="000877D7">
        <w:rPr>
          <w:noProof/>
          <w:szCs w:val="24"/>
        </w:rPr>
        <w:t>1998</w:t>
      </w:r>
      <w:r>
        <w:rPr>
          <w:noProof/>
          <w:szCs w:val="24"/>
        </w:rPr>
        <w:t xml:space="preserve">). </w:t>
      </w:r>
      <w:r w:rsidR="000877D7" w:rsidRPr="000877D7">
        <w:rPr>
          <w:noProof/>
          <w:szCs w:val="24"/>
        </w:rPr>
        <w:t>Improved Phosphorus Availability in Poultry Fed Wheat/Canola Meal-Based Diets Supplemented with Phy</w:t>
      </w:r>
      <w:r>
        <w:rPr>
          <w:noProof/>
          <w:szCs w:val="24"/>
        </w:rPr>
        <w:t>tase Enzyme [Master’s Thesis].</w:t>
      </w:r>
      <w:r w:rsidR="000877D7" w:rsidRPr="000877D7">
        <w:rPr>
          <w:noProof/>
          <w:szCs w:val="24"/>
        </w:rPr>
        <w:t xml:space="preserve"> The University of Manitoba, Canada.</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NRC</w:t>
      </w:r>
      <w:r w:rsidR="000877D7" w:rsidRPr="000877D7">
        <w:rPr>
          <w:noProof/>
          <w:szCs w:val="24"/>
        </w:rPr>
        <w:t xml:space="preserve"> </w:t>
      </w:r>
      <w:r>
        <w:rPr>
          <w:noProof/>
          <w:szCs w:val="24"/>
        </w:rPr>
        <w:t>(</w:t>
      </w:r>
      <w:r w:rsidR="000877D7" w:rsidRPr="000877D7">
        <w:rPr>
          <w:noProof/>
          <w:szCs w:val="24"/>
        </w:rPr>
        <w:t>1994</w:t>
      </w:r>
      <w:r>
        <w:rPr>
          <w:noProof/>
          <w:szCs w:val="24"/>
        </w:rPr>
        <w:t>)</w:t>
      </w:r>
      <w:r w:rsidR="000877D7" w:rsidRPr="000877D7">
        <w:rPr>
          <w:noProof/>
          <w:szCs w:val="24"/>
        </w:rPr>
        <w:t xml:space="preserve">. </w:t>
      </w:r>
      <w:r w:rsidR="000877D7" w:rsidRPr="000877D7">
        <w:rPr>
          <w:i/>
          <w:iCs/>
          <w:noProof/>
          <w:szCs w:val="24"/>
        </w:rPr>
        <w:t>Nutrient Requirements of Poultry</w:t>
      </w:r>
      <w:r w:rsidR="000877D7" w:rsidRPr="000877D7">
        <w:rPr>
          <w:noProof/>
          <w:szCs w:val="24"/>
        </w:rPr>
        <w:t>. Ninth Revised Edition, National Academy Press, Washington, D.C.USA.</w:t>
      </w:r>
    </w:p>
    <w:p w:rsidR="000877D7" w:rsidRPr="000877D7" w:rsidRDefault="00092DD9" w:rsidP="000877D7">
      <w:pPr>
        <w:widowControl w:val="0"/>
        <w:autoSpaceDE w:val="0"/>
        <w:autoSpaceDN w:val="0"/>
        <w:adjustRightInd w:val="0"/>
        <w:spacing w:after="200" w:line="480" w:lineRule="auto"/>
        <w:ind w:left="480" w:hanging="480"/>
        <w:rPr>
          <w:noProof/>
          <w:szCs w:val="24"/>
        </w:rPr>
      </w:pPr>
      <w:r w:rsidRPr="00092DD9">
        <w:rPr>
          <w:noProof/>
          <w:szCs w:val="24"/>
          <w:lang w:val="sv-SE"/>
        </w:rPr>
        <w:t>Ravindran V, G Ravindran, S Sivalogan</w:t>
      </w:r>
      <w:r w:rsidR="000877D7" w:rsidRPr="00092DD9">
        <w:rPr>
          <w:noProof/>
          <w:szCs w:val="24"/>
          <w:lang w:val="sv-SE"/>
        </w:rPr>
        <w:t xml:space="preserve"> </w:t>
      </w:r>
      <w:r w:rsidRPr="00092DD9">
        <w:rPr>
          <w:noProof/>
          <w:szCs w:val="24"/>
          <w:lang w:val="sv-SE"/>
        </w:rPr>
        <w:t>(</w:t>
      </w:r>
      <w:r w:rsidR="000877D7" w:rsidRPr="00092DD9">
        <w:rPr>
          <w:noProof/>
          <w:szCs w:val="24"/>
          <w:lang w:val="sv-SE"/>
        </w:rPr>
        <w:t>1994</w:t>
      </w:r>
      <w:r w:rsidRPr="00092DD9">
        <w:rPr>
          <w:noProof/>
          <w:szCs w:val="24"/>
          <w:lang w:val="sv-SE"/>
        </w:rPr>
        <w:t>)</w:t>
      </w:r>
      <w:r w:rsidR="000877D7" w:rsidRPr="00092DD9">
        <w:rPr>
          <w:noProof/>
          <w:szCs w:val="24"/>
          <w:lang w:val="sv-SE"/>
        </w:rPr>
        <w:t xml:space="preserve">. </w:t>
      </w:r>
      <w:r w:rsidR="000877D7" w:rsidRPr="000877D7">
        <w:rPr>
          <w:noProof/>
          <w:szCs w:val="24"/>
        </w:rPr>
        <w:t xml:space="preserve">Total and Phytate Phosphorus Contents of Various Foods </w:t>
      </w:r>
      <w:r>
        <w:rPr>
          <w:noProof/>
          <w:szCs w:val="24"/>
        </w:rPr>
        <w:t>and Feedstuffs of Plant Origin.</w:t>
      </w:r>
      <w:r w:rsidR="000877D7" w:rsidRPr="000877D7">
        <w:rPr>
          <w:noProof/>
          <w:szCs w:val="24"/>
        </w:rPr>
        <w:t xml:space="preserve"> </w:t>
      </w:r>
      <w:r w:rsidR="000877D7" w:rsidRPr="000877D7">
        <w:rPr>
          <w:i/>
          <w:iCs/>
          <w:noProof/>
          <w:szCs w:val="24"/>
        </w:rPr>
        <w:t>Food Chemistry</w:t>
      </w:r>
      <w:r w:rsidR="000877D7" w:rsidRPr="000877D7">
        <w:rPr>
          <w:noProof/>
          <w:szCs w:val="24"/>
        </w:rPr>
        <w:t xml:space="preserve"> 50:133–36.</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Rojas OJ, HH Stein</w:t>
      </w:r>
      <w:r w:rsidR="000877D7" w:rsidRPr="000877D7">
        <w:rPr>
          <w:noProof/>
          <w:szCs w:val="24"/>
        </w:rPr>
        <w:t xml:space="preserve"> </w:t>
      </w:r>
      <w:r>
        <w:rPr>
          <w:noProof/>
          <w:szCs w:val="24"/>
        </w:rPr>
        <w:t>(</w:t>
      </w:r>
      <w:r w:rsidR="000877D7" w:rsidRPr="000877D7">
        <w:rPr>
          <w:noProof/>
          <w:szCs w:val="24"/>
        </w:rPr>
        <w:t>2012</w:t>
      </w:r>
      <w:r>
        <w:rPr>
          <w:noProof/>
          <w:szCs w:val="24"/>
        </w:rPr>
        <w:t xml:space="preserve">). </w:t>
      </w:r>
      <w:r w:rsidR="000877D7" w:rsidRPr="000877D7">
        <w:rPr>
          <w:noProof/>
          <w:szCs w:val="24"/>
        </w:rPr>
        <w:t>Digestibility of Phosphorus by Growing Pigs of Fermented and Conventional Soybean Meal with</w:t>
      </w:r>
      <w:r>
        <w:rPr>
          <w:noProof/>
          <w:szCs w:val="24"/>
        </w:rPr>
        <w:t>out and with Microbial Phytase.</w:t>
      </w:r>
      <w:r w:rsidR="000877D7" w:rsidRPr="000877D7">
        <w:rPr>
          <w:noProof/>
          <w:szCs w:val="24"/>
        </w:rPr>
        <w:t xml:space="preserve"> </w:t>
      </w:r>
      <w:r w:rsidR="000877D7" w:rsidRPr="000877D7">
        <w:rPr>
          <w:i/>
          <w:iCs/>
          <w:noProof/>
          <w:szCs w:val="24"/>
        </w:rPr>
        <w:t>Journal of Animal Science</w:t>
      </w:r>
      <w:r w:rsidR="000877D7" w:rsidRPr="000877D7">
        <w:rPr>
          <w:noProof/>
          <w:szCs w:val="24"/>
        </w:rPr>
        <w:t xml:space="preserve"> 90(5):1506–12.</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Rutherfurd SM, TK Chung, PCH Morel, PJ Moughan</w:t>
      </w:r>
      <w:r w:rsidR="000877D7" w:rsidRPr="000877D7">
        <w:rPr>
          <w:noProof/>
          <w:szCs w:val="24"/>
        </w:rPr>
        <w:t xml:space="preserve"> </w:t>
      </w:r>
      <w:r>
        <w:rPr>
          <w:noProof/>
          <w:szCs w:val="24"/>
        </w:rPr>
        <w:t>(</w:t>
      </w:r>
      <w:r w:rsidR="000877D7" w:rsidRPr="000877D7">
        <w:rPr>
          <w:noProof/>
          <w:szCs w:val="24"/>
        </w:rPr>
        <w:t>2004</w:t>
      </w:r>
      <w:r>
        <w:rPr>
          <w:noProof/>
          <w:szCs w:val="24"/>
        </w:rPr>
        <w:t xml:space="preserve">). </w:t>
      </w:r>
      <w:r w:rsidR="000877D7" w:rsidRPr="000877D7">
        <w:rPr>
          <w:noProof/>
          <w:szCs w:val="24"/>
        </w:rPr>
        <w:t>Effect of Microbial Phytase on Ileal Digestibility of Phytate Phosphorus , Total Phosphorus , and Amino Acids in a Low-Phosphorus Diet for Broi</w:t>
      </w:r>
      <w:r>
        <w:rPr>
          <w:noProof/>
          <w:szCs w:val="24"/>
        </w:rPr>
        <w:t>lers.</w:t>
      </w:r>
      <w:r w:rsidR="000877D7" w:rsidRPr="000877D7">
        <w:rPr>
          <w:noProof/>
          <w:szCs w:val="24"/>
        </w:rPr>
        <w:t xml:space="preserve"> </w:t>
      </w:r>
      <w:r w:rsidR="000877D7" w:rsidRPr="000877D7">
        <w:rPr>
          <w:i/>
          <w:iCs/>
          <w:noProof/>
          <w:szCs w:val="24"/>
        </w:rPr>
        <w:t>Poultry Science</w:t>
      </w:r>
      <w:r w:rsidR="000877D7" w:rsidRPr="000877D7">
        <w:rPr>
          <w:noProof/>
          <w:szCs w:val="24"/>
        </w:rPr>
        <w:t xml:space="preserve"> 83:61–68.</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Rutherfurd SM, TK Chung, PJ Moughan</w:t>
      </w:r>
      <w:r w:rsidR="000877D7" w:rsidRPr="000877D7">
        <w:rPr>
          <w:noProof/>
          <w:szCs w:val="24"/>
        </w:rPr>
        <w:t xml:space="preserve"> </w:t>
      </w:r>
      <w:r>
        <w:rPr>
          <w:noProof/>
          <w:szCs w:val="24"/>
        </w:rPr>
        <w:t>(</w:t>
      </w:r>
      <w:r w:rsidR="000877D7" w:rsidRPr="000877D7">
        <w:rPr>
          <w:noProof/>
          <w:szCs w:val="24"/>
        </w:rPr>
        <w:t>2002</w:t>
      </w:r>
      <w:r>
        <w:rPr>
          <w:noProof/>
          <w:szCs w:val="24"/>
        </w:rPr>
        <w:t xml:space="preserve">). </w:t>
      </w:r>
      <w:r w:rsidR="000877D7" w:rsidRPr="000877D7">
        <w:rPr>
          <w:noProof/>
          <w:szCs w:val="24"/>
        </w:rPr>
        <w:t>The Effect of Microbial Phytase on Ileal Phosphorus and Amino Acid Digest</w:t>
      </w:r>
      <w:r>
        <w:rPr>
          <w:noProof/>
          <w:szCs w:val="24"/>
        </w:rPr>
        <w:t>ibility in the Broiler Chicken.</w:t>
      </w:r>
      <w:r w:rsidR="000877D7" w:rsidRPr="000877D7">
        <w:rPr>
          <w:noProof/>
          <w:szCs w:val="24"/>
        </w:rPr>
        <w:t xml:space="preserve"> </w:t>
      </w:r>
      <w:r w:rsidR="000877D7" w:rsidRPr="000877D7">
        <w:rPr>
          <w:i/>
          <w:iCs/>
          <w:noProof/>
          <w:szCs w:val="24"/>
        </w:rPr>
        <w:t>British Poultry Science</w:t>
      </w:r>
      <w:r w:rsidR="000877D7" w:rsidRPr="000877D7">
        <w:rPr>
          <w:noProof/>
          <w:szCs w:val="24"/>
        </w:rPr>
        <w:t xml:space="preserve"> 44:598–606.</w:t>
      </w:r>
    </w:p>
    <w:p w:rsidR="000877D7" w:rsidRPr="000877D7" w:rsidRDefault="00092DD9" w:rsidP="00092DD9">
      <w:pPr>
        <w:widowControl w:val="0"/>
        <w:autoSpaceDE w:val="0"/>
        <w:autoSpaceDN w:val="0"/>
        <w:adjustRightInd w:val="0"/>
        <w:spacing w:after="200" w:line="480" w:lineRule="auto"/>
        <w:ind w:left="480" w:hanging="480"/>
        <w:rPr>
          <w:noProof/>
          <w:szCs w:val="24"/>
        </w:rPr>
      </w:pPr>
      <w:r w:rsidRPr="002C3725">
        <w:rPr>
          <w:noProof/>
          <w:szCs w:val="24"/>
        </w:rPr>
        <w:lastRenderedPageBreak/>
        <w:t>Sauvant D, J</w:t>
      </w:r>
      <w:r w:rsidR="000877D7" w:rsidRPr="002C3725">
        <w:rPr>
          <w:noProof/>
          <w:szCs w:val="24"/>
        </w:rPr>
        <w:t xml:space="preserve"> Perez, </w:t>
      </w:r>
      <w:r w:rsidRPr="002C3725">
        <w:rPr>
          <w:noProof/>
          <w:szCs w:val="24"/>
        </w:rPr>
        <w:t>G Tran</w:t>
      </w:r>
      <w:r w:rsidR="000877D7" w:rsidRPr="002C3725">
        <w:rPr>
          <w:noProof/>
          <w:szCs w:val="24"/>
        </w:rPr>
        <w:t xml:space="preserve"> </w:t>
      </w:r>
      <w:r w:rsidRPr="002C3725">
        <w:rPr>
          <w:noProof/>
          <w:szCs w:val="24"/>
        </w:rPr>
        <w:t>(</w:t>
      </w:r>
      <w:r w:rsidR="000877D7" w:rsidRPr="002C3725">
        <w:rPr>
          <w:noProof/>
          <w:szCs w:val="24"/>
        </w:rPr>
        <w:t>2004</w:t>
      </w:r>
      <w:r w:rsidRPr="002C3725">
        <w:rPr>
          <w:noProof/>
          <w:szCs w:val="24"/>
        </w:rPr>
        <w:t>)</w:t>
      </w:r>
      <w:r w:rsidR="000877D7" w:rsidRPr="002C3725">
        <w:rPr>
          <w:noProof/>
          <w:szCs w:val="24"/>
        </w:rPr>
        <w:t xml:space="preserve">. </w:t>
      </w:r>
      <w:r w:rsidR="000877D7" w:rsidRPr="000877D7">
        <w:rPr>
          <w:i/>
          <w:iCs/>
          <w:noProof/>
          <w:szCs w:val="24"/>
        </w:rPr>
        <w:t>Tables of Composition and Nutritional Value of Feed Materials</w:t>
      </w:r>
      <w:r w:rsidR="000877D7" w:rsidRPr="000877D7">
        <w:rPr>
          <w:noProof/>
          <w:szCs w:val="24"/>
        </w:rPr>
        <w:t>.</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Selle PH, V Ravindran</w:t>
      </w:r>
      <w:r w:rsidR="000877D7" w:rsidRPr="000877D7">
        <w:rPr>
          <w:noProof/>
          <w:szCs w:val="24"/>
        </w:rPr>
        <w:t xml:space="preserve"> </w:t>
      </w:r>
      <w:r>
        <w:rPr>
          <w:noProof/>
          <w:szCs w:val="24"/>
        </w:rPr>
        <w:t>(</w:t>
      </w:r>
      <w:r w:rsidR="000877D7" w:rsidRPr="000877D7">
        <w:rPr>
          <w:noProof/>
          <w:szCs w:val="24"/>
        </w:rPr>
        <w:t>2007</w:t>
      </w:r>
      <w:r>
        <w:rPr>
          <w:noProof/>
          <w:szCs w:val="24"/>
        </w:rPr>
        <w:t xml:space="preserve">). </w:t>
      </w:r>
      <w:r w:rsidR="000877D7" w:rsidRPr="000877D7">
        <w:rPr>
          <w:noProof/>
          <w:szCs w:val="24"/>
        </w:rPr>
        <w:t>Microbia</w:t>
      </w:r>
      <w:r>
        <w:rPr>
          <w:noProof/>
          <w:szCs w:val="24"/>
        </w:rPr>
        <w:t>l Phytase in Poultry Nutrition.</w:t>
      </w:r>
      <w:r w:rsidR="000877D7" w:rsidRPr="000877D7">
        <w:rPr>
          <w:noProof/>
          <w:szCs w:val="24"/>
        </w:rPr>
        <w:t xml:space="preserve"> </w:t>
      </w:r>
      <w:r w:rsidR="000877D7" w:rsidRPr="000877D7">
        <w:rPr>
          <w:i/>
          <w:iCs/>
          <w:noProof/>
          <w:szCs w:val="24"/>
        </w:rPr>
        <w:t>Animal Feed Science and Technology</w:t>
      </w:r>
      <w:r w:rsidR="000877D7" w:rsidRPr="000877D7">
        <w:rPr>
          <w:noProof/>
          <w:szCs w:val="24"/>
        </w:rPr>
        <w:t xml:space="preserve"> 135(1–2):1–41.</w:t>
      </w:r>
    </w:p>
    <w:p w:rsidR="000877D7" w:rsidRPr="000877D7" w:rsidRDefault="00092DD9" w:rsidP="000877D7">
      <w:pPr>
        <w:widowControl w:val="0"/>
        <w:autoSpaceDE w:val="0"/>
        <w:autoSpaceDN w:val="0"/>
        <w:adjustRightInd w:val="0"/>
        <w:spacing w:after="200" w:line="480" w:lineRule="auto"/>
        <w:ind w:left="480" w:hanging="480"/>
        <w:rPr>
          <w:noProof/>
          <w:szCs w:val="24"/>
        </w:rPr>
      </w:pPr>
      <w:r>
        <w:rPr>
          <w:noProof/>
          <w:szCs w:val="24"/>
        </w:rPr>
        <w:t>Selle PH, AR Walker, WL Bryden</w:t>
      </w:r>
      <w:r w:rsidR="000877D7" w:rsidRPr="000877D7">
        <w:rPr>
          <w:noProof/>
          <w:szCs w:val="24"/>
        </w:rPr>
        <w:t xml:space="preserve"> </w:t>
      </w:r>
      <w:r>
        <w:rPr>
          <w:noProof/>
          <w:szCs w:val="24"/>
        </w:rPr>
        <w:t>(</w:t>
      </w:r>
      <w:r w:rsidR="000877D7" w:rsidRPr="000877D7">
        <w:rPr>
          <w:noProof/>
          <w:szCs w:val="24"/>
        </w:rPr>
        <w:t>2003</w:t>
      </w:r>
      <w:r>
        <w:rPr>
          <w:noProof/>
          <w:szCs w:val="24"/>
        </w:rPr>
        <w:t xml:space="preserve">). </w:t>
      </w:r>
      <w:r w:rsidR="000877D7" w:rsidRPr="000877D7">
        <w:rPr>
          <w:noProof/>
          <w:szCs w:val="24"/>
        </w:rPr>
        <w:t>Total and Phytate-Phosphorus Contents and Phytase Activity of Australian-Sourced Feed In</w:t>
      </w:r>
      <w:r w:rsidR="003E3AA9">
        <w:rPr>
          <w:noProof/>
          <w:szCs w:val="24"/>
        </w:rPr>
        <w:t>gredients for Pigs and Poultry.</w:t>
      </w:r>
      <w:r w:rsidR="000877D7" w:rsidRPr="000877D7">
        <w:rPr>
          <w:noProof/>
          <w:szCs w:val="24"/>
        </w:rPr>
        <w:t xml:space="preserve"> </w:t>
      </w:r>
      <w:r w:rsidR="000877D7" w:rsidRPr="000877D7">
        <w:rPr>
          <w:i/>
          <w:iCs/>
          <w:noProof/>
          <w:szCs w:val="24"/>
        </w:rPr>
        <w:t>Australian Journal of Experimental Agriculture</w:t>
      </w:r>
      <w:r w:rsidR="000877D7" w:rsidRPr="000877D7">
        <w:rPr>
          <w:noProof/>
          <w:szCs w:val="24"/>
        </w:rPr>
        <w:t xml:space="preserve"> 43(5):475–79.</w:t>
      </w:r>
    </w:p>
    <w:p w:rsidR="000877D7" w:rsidRPr="000877D7" w:rsidRDefault="003E3AA9" w:rsidP="000877D7">
      <w:pPr>
        <w:widowControl w:val="0"/>
        <w:autoSpaceDE w:val="0"/>
        <w:autoSpaceDN w:val="0"/>
        <w:adjustRightInd w:val="0"/>
        <w:spacing w:after="200" w:line="480" w:lineRule="auto"/>
        <w:ind w:left="480" w:hanging="480"/>
        <w:rPr>
          <w:noProof/>
          <w:szCs w:val="24"/>
        </w:rPr>
      </w:pPr>
      <w:r w:rsidRPr="002C3725">
        <w:rPr>
          <w:noProof/>
          <w:szCs w:val="24"/>
        </w:rPr>
        <w:t xml:space="preserve">She Y, Y Su, L Liu, C Huang, J Li, P Li, D Li, X </w:t>
      </w:r>
      <w:r w:rsidR="000877D7" w:rsidRPr="002C3725">
        <w:rPr>
          <w:noProof/>
          <w:szCs w:val="24"/>
        </w:rPr>
        <w:t xml:space="preserve"> Piao </w:t>
      </w:r>
      <w:r w:rsidRPr="002C3725">
        <w:rPr>
          <w:noProof/>
          <w:szCs w:val="24"/>
        </w:rPr>
        <w:t>(</w:t>
      </w:r>
      <w:r w:rsidR="000877D7" w:rsidRPr="002C3725">
        <w:rPr>
          <w:noProof/>
          <w:szCs w:val="24"/>
        </w:rPr>
        <w:t>2015</w:t>
      </w:r>
      <w:r w:rsidRPr="002C3725">
        <w:rPr>
          <w:noProof/>
          <w:szCs w:val="24"/>
        </w:rPr>
        <w:t>)</w:t>
      </w:r>
      <w:r w:rsidR="000877D7" w:rsidRPr="002C3725">
        <w:rPr>
          <w:noProof/>
          <w:szCs w:val="24"/>
        </w:rPr>
        <w:t xml:space="preserve">. </w:t>
      </w:r>
      <w:r w:rsidR="000877D7" w:rsidRPr="000877D7">
        <w:rPr>
          <w:noProof/>
          <w:szCs w:val="24"/>
        </w:rPr>
        <w:t>Effects of Microbial Phytase on Coefficient of Standardized Total Tract Digestibility of Phosphorus in Growing Pigs Fed Corn and Corn Co-Products, Wheat and Wheat</w:t>
      </w:r>
      <w:r>
        <w:rPr>
          <w:noProof/>
          <w:szCs w:val="24"/>
        </w:rPr>
        <w:t xml:space="preserve"> Co-Products and Oilseed Meals.</w:t>
      </w:r>
      <w:r w:rsidR="000877D7" w:rsidRPr="000877D7">
        <w:rPr>
          <w:noProof/>
          <w:szCs w:val="24"/>
        </w:rPr>
        <w:t xml:space="preserve"> </w:t>
      </w:r>
      <w:r w:rsidR="000877D7" w:rsidRPr="000877D7">
        <w:rPr>
          <w:i/>
          <w:iCs/>
          <w:noProof/>
          <w:szCs w:val="24"/>
        </w:rPr>
        <w:t>Animal Feed Science and Technology</w:t>
      </w:r>
      <w:r w:rsidR="000877D7" w:rsidRPr="000877D7">
        <w:rPr>
          <w:noProof/>
          <w:szCs w:val="24"/>
        </w:rPr>
        <w:t xml:space="preserve"> 208:132–44.</w:t>
      </w:r>
    </w:p>
    <w:p w:rsidR="000877D7" w:rsidRPr="000877D7" w:rsidRDefault="003E3AA9" w:rsidP="000877D7">
      <w:pPr>
        <w:widowControl w:val="0"/>
        <w:autoSpaceDE w:val="0"/>
        <w:autoSpaceDN w:val="0"/>
        <w:adjustRightInd w:val="0"/>
        <w:spacing w:after="200" w:line="480" w:lineRule="auto"/>
        <w:ind w:left="480" w:hanging="480"/>
        <w:rPr>
          <w:noProof/>
          <w:szCs w:val="24"/>
        </w:rPr>
      </w:pPr>
      <w:r>
        <w:rPr>
          <w:noProof/>
          <w:szCs w:val="24"/>
        </w:rPr>
        <w:t>Tran GD, D Sauvant</w:t>
      </w:r>
      <w:r w:rsidR="000877D7" w:rsidRPr="000877D7">
        <w:rPr>
          <w:noProof/>
          <w:szCs w:val="24"/>
        </w:rPr>
        <w:t xml:space="preserve"> </w:t>
      </w:r>
      <w:r>
        <w:rPr>
          <w:noProof/>
          <w:szCs w:val="24"/>
        </w:rPr>
        <w:t>(</w:t>
      </w:r>
      <w:r w:rsidR="000877D7" w:rsidRPr="000877D7">
        <w:rPr>
          <w:noProof/>
          <w:szCs w:val="24"/>
        </w:rPr>
        <w:t>2004</w:t>
      </w:r>
      <w:r>
        <w:rPr>
          <w:noProof/>
          <w:szCs w:val="24"/>
        </w:rPr>
        <w:t xml:space="preserve">). </w:t>
      </w:r>
      <w:r w:rsidR="000877D7" w:rsidRPr="000877D7">
        <w:rPr>
          <w:noProof/>
          <w:szCs w:val="24"/>
        </w:rPr>
        <w:t>Chemi</w:t>
      </w:r>
      <w:r>
        <w:rPr>
          <w:noProof/>
          <w:szCs w:val="24"/>
        </w:rPr>
        <w:t>cal Data and Nutritional Value. I</w:t>
      </w:r>
      <w:r w:rsidR="000877D7" w:rsidRPr="000877D7">
        <w:rPr>
          <w:noProof/>
          <w:szCs w:val="24"/>
        </w:rPr>
        <w:t>n</w:t>
      </w:r>
      <w:r>
        <w:rPr>
          <w:noProof/>
          <w:szCs w:val="24"/>
        </w:rPr>
        <w:t>:</w:t>
      </w:r>
      <w:r w:rsidR="000877D7" w:rsidRPr="000877D7">
        <w:rPr>
          <w:noProof/>
          <w:szCs w:val="24"/>
        </w:rPr>
        <w:t xml:space="preserve"> </w:t>
      </w:r>
      <w:r w:rsidR="000877D7" w:rsidRPr="000877D7">
        <w:rPr>
          <w:i/>
          <w:iCs/>
          <w:noProof/>
          <w:szCs w:val="24"/>
        </w:rPr>
        <w:t>Tables of composition and nutritional value of feed materials</w:t>
      </w:r>
      <w:r w:rsidR="000F514F">
        <w:rPr>
          <w:noProof/>
          <w:szCs w:val="24"/>
        </w:rPr>
        <w:t>, edited by D Sauvant, JM Perez, G</w:t>
      </w:r>
      <w:r w:rsidR="000877D7" w:rsidRPr="000877D7">
        <w:rPr>
          <w:noProof/>
          <w:szCs w:val="24"/>
        </w:rPr>
        <w:t xml:space="preserve"> Tran. Wageningen Academic Publishers, Wageningen, The Netherlands.pp.17-24.</w:t>
      </w:r>
    </w:p>
    <w:p w:rsidR="000877D7" w:rsidRPr="000877D7" w:rsidRDefault="000877D7" w:rsidP="008B36D2">
      <w:pPr>
        <w:widowControl w:val="0"/>
        <w:autoSpaceDE w:val="0"/>
        <w:autoSpaceDN w:val="0"/>
        <w:adjustRightInd w:val="0"/>
        <w:spacing w:after="200" w:line="480" w:lineRule="auto"/>
        <w:ind w:left="480" w:hanging="480"/>
        <w:rPr>
          <w:noProof/>
          <w:szCs w:val="24"/>
        </w:rPr>
      </w:pPr>
      <w:r w:rsidRPr="000877D7">
        <w:rPr>
          <w:noProof/>
          <w:szCs w:val="24"/>
        </w:rPr>
        <w:t>V</w:t>
      </w:r>
      <w:r w:rsidR="000F514F">
        <w:rPr>
          <w:noProof/>
          <w:szCs w:val="24"/>
        </w:rPr>
        <w:t>eum TL</w:t>
      </w:r>
      <w:r w:rsidRPr="000877D7">
        <w:rPr>
          <w:noProof/>
          <w:szCs w:val="24"/>
        </w:rPr>
        <w:t xml:space="preserve"> </w:t>
      </w:r>
      <w:r w:rsidR="000F514F">
        <w:rPr>
          <w:noProof/>
          <w:szCs w:val="24"/>
        </w:rPr>
        <w:t>(</w:t>
      </w:r>
      <w:r w:rsidRPr="000877D7">
        <w:rPr>
          <w:noProof/>
          <w:szCs w:val="24"/>
        </w:rPr>
        <w:t>2010</w:t>
      </w:r>
      <w:r w:rsidR="000F514F">
        <w:rPr>
          <w:noProof/>
          <w:szCs w:val="24"/>
        </w:rPr>
        <w:t xml:space="preserve">). </w:t>
      </w:r>
      <w:r w:rsidRPr="000877D7">
        <w:rPr>
          <w:noProof/>
          <w:szCs w:val="24"/>
        </w:rPr>
        <w:t>Phosphorus and Ca</w:t>
      </w:r>
      <w:r w:rsidR="000F514F">
        <w:rPr>
          <w:noProof/>
          <w:szCs w:val="24"/>
        </w:rPr>
        <w:t>lcium Nutrition and Metabolism.</w:t>
      </w:r>
      <w:r w:rsidRPr="000877D7">
        <w:rPr>
          <w:noProof/>
          <w:szCs w:val="24"/>
        </w:rPr>
        <w:t xml:space="preserve"> </w:t>
      </w:r>
      <w:r w:rsidR="000F514F">
        <w:rPr>
          <w:noProof/>
          <w:szCs w:val="24"/>
        </w:rPr>
        <w:t>I</w:t>
      </w:r>
      <w:r w:rsidRPr="000877D7">
        <w:rPr>
          <w:noProof/>
          <w:szCs w:val="24"/>
        </w:rPr>
        <w:t>n</w:t>
      </w:r>
      <w:r w:rsidR="000F514F">
        <w:rPr>
          <w:noProof/>
          <w:szCs w:val="24"/>
        </w:rPr>
        <w:t>:</w:t>
      </w:r>
      <w:r w:rsidRPr="000877D7">
        <w:rPr>
          <w:noProof/>
          <w:szCs w:val="24"/>
        </w:rPr>
        <w:t xml:space="preserve"> </w:t>
      </w:r>
      <w:r w:rsidRPr="000877D7">
        <w:rPr>
          <w:i/>
          <w:iCs/>
          <w:noProof/>
          <w:szCs w:val="24"/>
        </w:rPr>
        <w:t>Phosphorus and calcium utilization and requierments in farm animals</w:t>
      </w:r>
      <w:r w:rsidRPr="000877D7">
        <w:rPr>
          <w:noProof/>
          <w:szCs w:val="24"/>
        </w:rPr>
        <w:t xml:space="preserve">, edited by </w:t>
      </w:r>
      <w:r w:rsidR="008B36D2">
        <w:t>Vitti</w:t>
      </w:r>
      <w:r w:rsidR="008B36D2">
        <w:rPr>
          <w:noProof/>
          <w:szCs w:val="24"/>
        </w:rPr>
        <w:t xml:space="preserve"> DMSS, </w:t>
      </w:r>
      <w:r w:rsidR="00C41016">
        <w:rPr>
          <w:noProof/>
          <w:szCs w:val="24"/>
        </w:rPr>
        <w:t>E Kebreab</w:t>
      </w:r>
      <w:r w:rsidR="008B36D2">
        <w:t>,</w:t>
      </w:r>
      <w:r w:rsidRPr="000877D7">
        <w:rPr>
          <w:noProof/>
          <w:szCs w:val="24"/>
        </w:rPr>
        <w:t xml:space="preserve"> CAB International , Oxfordshire, UK.</w:t>
      </w:r>
      <w:r w:rsidR="000F514F" w:rsidRPr="000F514F">
        <w:rPr>
          <w:noProof/>
          <w:szCs w:val="24"/>
        </w:rPr>
        <w:t xml:space="preserve"> </w:t>
      </w:r>
      <w:r w:rsidR="000F514F" w:rsidRPr="000877D7">
        <w:rPr>
          <w:noProof/>
          <w:szCs w:val="24"/>
        </w:rPr>
        <w:t>Pp. 94–111</w:t>
      </w:r>
    </w:p>
    <w:p w:rsidR="000877D7" w:rsidRPr="000877D7" w:rsidRDefault="00C41016" w:rsidP="000877D7">
      <w:pPr>
        <w:widowControl w:val="0"/>
        <w:autoSpaceDE w:val="0"/>
        <w:autoSpaceDN w:val="0"/>
        <w:adjustRightInd w:val="0"/>
        <w:spacing w:after="200" w:line="480" w:lineRule="auto"/>
        <w:ind w:left="480" w:hanging="480"/>
        <w:rPr>
          <w:noProof/>
          <w:szCs w:val="24"/>
        </w:rPr>
      </w:pPr>
      <w:r w:rsidRPr="00C41016">
        <w:rPr>
          <w:noProof/>
          <w:szCs w:val="24"/>
          <w:lang w:val="pt-BR"/>
        </w:rPr>
        <w:t>Viveros A, C Centeno, A</w:t>
      </w:r>
      <w:r w:rsidR="000877D7" w:rsidRPr="00C41016">
        <w:rPr>
          <w:noProof/>
          <w:szCs w:val="24"/>
          <w:lang w:val="pt-BR"/>
        </w:rPr>
        <w:t xml:space="preserve"> Brenes, R</w:t>
      </w:r>
      <w:r w:rsidRPr="00C41016">
        <w:rPr>
          <w:noProof/>
          <w:szCs w:val="24"/>
          <w:lang w:val="pt-BR"/>
        </w:rPr>
        <w:t xml:space="preserve"> Canales, A Lozano</w:t>
      </w:r>
      <w:r w:rsidR="000877D7" w:rsidRPr="00C41016">
        <w:rPr>
          <w:noProof/>
          <w:szCs w:val="24"/>
          <w:lang w:val="pt-BR"/>
        </w:rPr>
        <w:t xml:space="preserve"> </w:t>
      </w:r>
      <w:r w:rsidRPr="00C41016">
        <w:rPr>
          <w:noProof/>
          <w:szCs w:val="24"/>
          <w:lang w:val="pt-BR"/>
        </w:rPr>
        <w:t>(</w:t>
      </w:r>
      <w:r w:rsidR="000877D7" w:rsidRPr="00C41016">
        <w:rPr>
          <w:noProof/>
          <w:szCs w:val="24"/>
          <w:lang w:val="pt-BR"/>
        </w:rPr>
        <w:t>2000</w:t>
      </w:r>
      <w:r w:rsidRPr="00C41016">
        <w:rPr>
          <w:noProof/>
          <w:szCs w:val="24"/>
          <w:lang w:val="pt-BR"/>
        </w:rPr>
        <w:t>)</w:t>
      </w:r>
      <w:r w:rsidR="000877D7" w:rsidRPr="00C41016">
        <w:rPr>
          <w:noProof/>
          <w:szCs w:val="24"/>
          <w:lang w:val="pt-BR"/>
        </w:rPr>
        <w:t xml:space="preserve">. </w:t>
      </w:r>
      <w:r w:rsidR="000877D7" w:rsidRPr="000877D7">
        <w:rPr>
          <w:noProof/>
          <w:szCs w:val="24"/>
        </w:rPr>
        <w:t xml:space="preserve">Phytase and Acid Phosphatase </w:t>
      </w:r>
      <w:r>
        <w:rPr>
          <w:noProof/>
          <w:szCs w:val="24"/>
        </w:rPr>
        <w:t>Activities in Plant Feedstuffs.</w:t>
      </w:r>
      <w:r w:rsidR="000877D7" w:rsidRPr="000877D7">
        <w:rPr>
          <w:noProof/>
          <w:szCs w:val="24"/>
        </w:rPr>
        <w:t xml:space="preserve"> </w:t>
      </w:r>
      <w:r w:rsidR="000877D7" w:rsidRPr="000877D7">
        <w:rPr>
          <w:i/>
          <w:iCs/>
          <w:noProof/>
          <w:szCs w:val="24"/>
        </w:rPr>
        <w:t>Journal of Agricultural and Food Chemistry</w:t>
      </w:r>
      <w:r w:rsidR="000877D7" w:rsidRPr="000877D7">
        <w:rPr>
          <w:noProof/>
          <w:szCs w:val="24"/>
        </w:rPr>
        <w:t xml:space="preserve"> 48(9):4009–13.</w:t>
      </w:r>
    </w:p>
    <w:p w:rsidR="00AB3728" w:rsidRPr="00E747A2" w:rsidRDefault="00C41016" w:rsidP="00C41016">
      <w:pPr>
        <w:widowControl w:val="0"/>
        <w:autoSpaceDE w:val="0"/>
        <w:autoSpaceDN w:val="0"/>
        <w:adjustRightInd w:val="0"/>
        <w:spacing w:after="200" w:line="480" w:lineRule="auto"/>
        <w:ind w:left="480" w:hanging="480"/>
        <w:rPr>
          <w:rStyle w:val="a"/>
          <w:rFonts w:eastAsia="Palatino Linotype"/>
          <w:bCs/>
          <w:color w:val="auto"/>
          <w:szCs w:val="24"/>
        </w:rPr>
      </w:pPr>
      <w:r w:rsidRPr="009E0E6B">
        <w:rPr>
          <w:noProof/>
          <w:szCs w:val="24"/>
          <w:lang w:val="da-DK"/>
        </w:rPr>
        <w:lastRenderedPageBreak/>
        <w:t xml:space="preserve">Yi Z, ET Kornegay, </w:t>
      </w:r>
      <w:r w:rsidR="000877D7" w:rsidRPr="009E0E6B">
        <w:rPr>
          <w:noProof/>
          <w:szCs w:val="24"/>
          <w:lang w:val="da-DK"/>
        </w:rPr>
        <w:t>D</w:t>
      </w:r>
      <w:r w:rsidRPr="009E0E6B">
        <w:rPr>
          <w:noProof/>
          <w:szCs w:val="24"/>
          <w:lang w:val="da-DK"/>
        </w:rPr>
        <w:t>M Denbow</w:t>
      </w:r>
      <w:r w:rsidR="000877D7" w:rsidRPr="009E0E6B">
        <w:rPr>
          <w:noProof/>
          <w:szCs w:val="24"/>
          <w:lang w:val="da-DK"/>
        </w:rPr>
        <w:t xml:space="preserve"> </w:t>
      </w:r>
      <w:r w:rsidRPr="009E0E6B">
        <w:rPr>
          <w:noProof/>
          <w:szCs w:val="24"/>
          <w:lang w:val="da-DK"/>
        </w:rPr>
        <w:t>(</w:t>
      </w:r>
      <w:r w:rsidR="000877D7" w:rsidRPr="009E0E6B">
        <w:rPr>
          <w:noProof/>
          <w:szCs w:val="24"/>
          <w:lang w:val="da-DK"/>
        </w:rPr>
        <w:t>1996</w:t>
      </w:r>
      <w:r w:rsidRPr="009E0E6B">
        <w:rPr>
          <w:noProof/>
          <w:szCs w:val="24"/>
          <w:lang w:val="da-DK"/>
        </w:rPr>
        <w:t xml:space="preserve">). </w:t>
      </w:r>
      <w:r w:rsidR="000877D7" w:rsidRPr="002C3725">
        <w:rPr>
          <w:noProof/>
          <w:szCs w:val="24"/>
        </w:rPr>
        <w:t xml:space="preserve">Improving Phytate Phosphorus Availability in Corn and Soybean Meal for Broilers Using Microbial Phytase and Calculation of Phosphorus </w:t>
      </w:r>
      <w:r w:rsidRPr="002C3725">
        <w:rPr>
          <w:noProof/>
          <w:szCs w:val="24"/>
        </w:rPr>
        <w:t>Equivalency Values for Phytase.</w:t>
      </w:r>
      <w:r w:rsidR="000877D7" w:rsidRPr="002C3725">
        <w:rPr>
          <w:noProof/>
          <w:szCs w:val="24"/>
        </w:rPr>
        <w:t xml:space="preserve"> </w:t>
      </w:r>
      <w:r w:rsidR="000877D7" w:rsidRPr="000877D7">
        <w:rPr>
          <w:i/>
          <w:iCs/>
          <w:noProof/>
          <w:szCs w:val="24"/>
        </w:rPr>
        <w:t>Poultry Science</w:t>
      </w:r>
      <w:r w:rsidR="000877D7" w:rsidRPr="000877D7">
        <w:rPr>
          <w:noProof/>
          <w:szCs w:val="24"/>
        </w:rPr>
        <w:t xml:space="preserve"> 75:240–49.</w:t>
      </w:r>
      <w:r w:rsidR="00382493" w:rsidRPr="00E747A2">
        <w:rPr>
          <w:color w:val="auto"/>
          <w:szCs w:val="24"/>
        </w:rPr>
        <w:fldChar w:fldCharType="end"/>
      </w:r>
      <w:bookmarkEnd w:id="7"/>
      <w:bookmarkEnd w:id="8"/>
      <w:r w:rsidR="00257313" w:rsidRPr="00E747A2">
        <w:rPr>
          <w:rStyle w:val="a"/>
          <w:rFonts w:eastAsia="Palatino Linotype"/>
          <w:bCs/>
          <w:color w:val="auto"/>
          <w:szCs w:val="24"/>
        </w:rPr>
        <w:t xml:space="preserve"> </w:t>
      </w:r>
    </w:p>
    <w:p w:rsidR="00AB3728" w:rsidRPr="00E747A2" w:rsidRDefault="00AB3728" w:rsidP="00BE2D61">
      <w:pPr>
        <w:widowControl w:val="0"/>
        <w:autoSpaceDE w:val="0"/>
        <w:autoSpaceDN w:val="0"/>
        <w:adjustRightInd w:val="0"/>
        <w:spacing w:line="480" w:lineRule="auto"/>
        <w:ind w:left="640" w:hanging="640"/>
        <w:rPr>
          <w:rStyle w:val="a"/>
          <w:rFonts w:eastAsia="Palatino Linotype"/>
          <w:b/>
          <w:bCs/>
          <w:color w:val="auto"/>
          <w:szCs w:val="24"/>
        </w:rPr>
      </w:pPr>
    </w:p>
    <w:p w:rsidR="00AB3728" w:rsidRPr="00E747A2" w:rsidRDefault="00AB3728" w:rsidP="00BE2D61">
      <w:pPr>
        <w:widowControl w:val="0"/>
        <w:autoSpaceDE w:val="0"/>
        <w:autoSpaceDN w:val="0"/>
        <w:adjustRightInd w:val="0"/>
        <w:spacing w:line="480" w:lineRule="auto"/>
        <w:ind w:left="640" w:hanging="640"/>
        <w:rPr>
          <w:rStyle w:val="a"/>
          <w:rFonts w:eastAsia="Palatino Linotype"/>
          <w:b/>
          <w:bCs/>
          <w:color w:val="auto"/>
          <w:szCs w:val="24"/>
        </w:rPr>
        <w:sectPr w:rsidR="00AB3728" w:rsidRPr="00E747A2" w:rsidSect="001218D7">
          <w:headerReference w:type="even" r:id="rId18"/>
          <w:headerReference w:type="default" r:id="rId19"/>
          <w:footerReference w:type="first" r:id="rId20"/>
          <w:pgSz w:w="11906" w:h="16838" w:code="9"/>
          <w:pgMar w:top="1417" w:right="1531" w:bottom="1077" w:left="1531" w:header="1020" w:footer="850" w:gutter="0"/>
          <w:lnNumType w:countBy="1" w:restart="continuous"/>
          <w:pgNumType w:start="1"/>
          <w:cols w:space="425"/>
          <w:titlePg/>
          <w:docGrid w:type="lines" w:linePitch="326"/>
        </w:sectPr>
      </w:pPr>
    </w:p>
    <w:p w:rsidR="00257313" w:rsidRPr="00E747A2" w:rsidRDefault="005E773B" w:rsidP="00BE2D61">
      <w:pPr>
        <w:widowControl w:val="0"/>
        <w:autoSpaceDE w:val="0"/>
        <w:autoSpaceDN w:val="0"/>
        <w:adjustRightInd w:val="0"/>
        <w:spacing w:line="480" w:lineRule="auto"/>
        <w:ind w:left="640" w:hanging="640"/>
        <w:jc w:val="left"/>
        <w:rPr>
          <w:rStyle w:val="a"/>
          <w:rFonts w:eastAsia="Palatino Linotype"/>
          <w:b/>
          <w:bCs/>
          <w:color w:val="auto"/>
          <w:szCs w:val="24"/>
        </w:rPr>
      </w:pPr>
      <w:r>
        <w:rPr>
          <w:rStyle w:val="a"/>
          <w:rFonts w:eastAsia="Palatino Linotype"/>
          <w:b/>
          <w:bCs/>
          <w:color w:val="auto"/>
          <w:szCs w:val="24"/>
        </w:rPr>
        <w:lastRenderedPageBreak/>
        <w:t>Table 1</w:t>
      </w:r>
      <w:r w:rsidR="00257313" w:rsidRPr="00E747A2">
        <w:rPr>
          <w:rStyle w:val="a"/>
          <w:rFonts w:eastAsia="Palatino Linotype"/>
          <w:b/>
          <w:bCs/>
          <w:color w:val="auto"/>
          <w:szCs w:val="24"/>
        </w:rPr>
        <w:t xml:space="preserve"> </w:t>
      </w:r>
      <w:r w:rsidR="00257313" w:rsidRPr="006975B4">
        <w:rPr>
          <w:rStyle w:val="a"/>
          <w:rFonts w:eastAsia="Palatino Linotype"/>
          <w:color w:val="auto"/>
          <w:szCs w:val="24"/>
        </w:rPr>
        <w:t xml:space="preserve">Chemical component of </w:t>
      </w:r>
      <w:r w:rsidR="00B65AAE" w:rsidRPr="006975B4">
        <w:rPr>
          <w:rStyle w:val="a"/>
          <w:rFonts w:eastAsia="Palatino Linotype"/>
          <w:color w:val="auto"/>
          <w:szCs w:val="24"/>
        </w:rPr>
        <w:t xml:space="preserve">experimental </w:t>
      </w:r>
      <w:r w:rsidR="00257313" w:rsidRPr="006975B4">
        <w:rPr>
          <w:rStyle w:val="a"/>
          <w:rFonts w:eastAsia="Palatino Linotype"/>
          <w:color w:val="auto"/>
          <w:szCs w:val="24"/>
        </w:rPr>
        <w:t>feed ingredients fed to broilers (air-dried basis)</w:t>
      </w:r>
    </w:p>
    <w:tbl>
      <w:tblPr>
        <w:tblStyle w:val="TableNormal2"/>
        <w:tblW w:w="5000" w:type="pct"/>
        <w:shd w:val="clear" w:color="auto" w:fill="CED7E7"/>
        <w:tblLook w:val="04A0"/>
      </w:tblPr>
      <w:tblGrid>
        <w:gridCol w:w="3091"/>
        <w:gridCol w:w="1591"/>
        <w:gridCol w:w="1441"/>
        <w:gridCol w:w="1349"/>
        <w:gridCol w:w="1346"/>
        <w:gridCol w:w="1891"/>
        <w:gridCol w:w="1707"/>
        <w:gridCol w:w="1931"/>
      </w:tblGrid>
      <w:tr w:rsidR="006A3F2C" w:rsidRPr="00E747A2" w:rsidTr="00275AA8">
        <w:trPr>
          <w:trHeight w:val="427"/>
        </w:trPr>
        <w:tc>
          <w:tcPr>
            <w:tcW w:w="1077" w:type="pct"/>
            <w:tcBorders>
              <w:top w:val="single" w:sz="4" w:space="0" w:color="auto"/>
              <w:bottom w:val="single" w:sz="4" w:space="0" w:color="auto"/>
            </w:tcBorders>
            <w:shd w:val="clear" w:color="auto" w:fill="auto"/>
            <w:vAlign w:val="center"/>
          </w:tcPr>
          <w:p w:rsidR="00C70599" w:rsidRPr="00E747A2" w:rsidRDefault="00275AA8" w:rsidP="006975B4">
            <w:pPr>
              <w:spacing w:line="360" w:lineRule="auto"/>
              <w:jc w:val="center"/>
              <w:rPr>
                <w:color w:val="auto"/>
                <w:szCs w:val="24"/>
              </w:rPr>
            </w:pPr>
            <w:r>
              <w:rPr>
                <w:color w:val="auto"/>
                <w:szCs w:val="24"/>
              </w:rPr>
              <w:t>Item</w:t>
            </w:r>
          </w:p>
        </w:tc>
        <w:tc>
          <w:tcPr>
            <w:tcW w:w="554"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Soybean meal</w:t>
            </w:r>
          </w:p>
        </w:tc>
        <w:tc>
          <w:tcPr>
            <w:tcW w:w="502"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Canola meal</w:t>
            </w:r>
          </w:p>
        </w:tc>
        <w:tc>
          <w:tcPr>
            <w:tcW w:w="47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70599" w:rsidRPr="006A3F2C" w:rsidRDefault="00C70599" w:rsidP="006A3F2C">
            <w:pPr>
              <w:spacing w:line="360" w:lineRule="auto"/>
              <w:rPr>
                <w:rFonts w:eastAsia="Palatino Linotype"/>
                <w:color w:val="auto"/>
                <w:szCs w:val="24"/>
              </w:rPr>
            </w:pPr>
            <w:r w:rsidRPr="00E747A2">
              <w:rPr>
                <w:rStyle w:val="a"/>
                <w:rFonts w:eastAsia="Palatino Linotype"/>
                <w:color w:val="auto"/>
                <w:szCs w:val="24"/>
              </w:rPr>
              <w:t>Peanut</w:t>
            </w:r>
            <w:r w:rsidR="006A3F2C">
              <w:rPr>
                <w:rStyle w:val="a"/>
                <w:rFonts w:eastAsia="Palatino Linotype"/>
                <w:color w:val="auto"/>
                <w:szCs w:val="24"/>
              </w:rPr>
              <w:t xml:space="preserve"> </w:t>
            </w:r>
            <w:r w:rsidRPr="00E747A2">
              <w:rPr>
                <w:rStyle w:val="a"/>
                <w:rFonts w:eastAsia="Palatino Linotype"/>
                <w:color w:val="auto"/>
                <w:szCs w:val="24"/>
              </w:rPr>
              <w:t>meal</w:t>
            </w:r>
          </w:p>
        </w:tc>
        <w:tc>
          <w:tcPr>
            <w:tcW w:w="469" w:type="pct"/>
            <w:tcBorders>
              <w:top w:val="single" w:sz="4" w:space="0" w:color="auto"/>
              <w:bottom w:val="single" w:sz="4" w:space="0" w:color="auto"/>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Corn DDGS</w:t>
            </w:r>
          </w:p>
        </w:tc>
        <w:tc>
          <w:tcPr>
            <w:tcW w:w="659" w:type="pct"/>
            <w:tcBorders>
              <w:top w:val="single" w:sz="4" w:space="0" w:color="auto"/>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Wheat bran</w:t>
            </w:r>
          </w:p>
        </w:tc>
        <w:tc>
          <w:tcPr>
            <w:tcW w:w="595" w:type="pct"/>
            <w:tcBorders>
              <w:top w:val="single" w:sz="4" w:space="0" w:color="auto"/>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Wheat grain</w:t>
            </w:r>
          </w:p>
        </w:tc>
        <w:tc>
          <w:tcPr>
            <w:tcW w:w="673" w:type="pct"/>
            <w:tcBorders>
              <w:top w:val="single" w:sz="4" w:space="0" w:color="auto"/>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Wheat middling</w:t>
            </w:r>
          </w:p>
        </w:tc>
      </w:tr>
      <w:tr w:rsidR="006A3F2C" w:rsidRPr="00E747A2" w:rsidTr="00275AA8">
        <w:trPr>
          <w:trHeight w:val="310"/>
        </w:trPr>
        <w:tc>
          <w:tcPr>
            <w:tcW w:w="1077" w:type="pct"/>
            <w:tcBorders>
              <w:top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DM, %</w:t>
            </w:r>
          </w:p>
        </w:tc>
        <w:tc>
          <w:tcPr>
            <w:tcW w:w="554" w:type="pct"/>
            <w:tcBorders>
              <w:top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91.42</w:t>
            </w:r>
          </w:p>
        </w:tc>
        <w:tc>
          <w:tcPr>
            <w:tcW w:w="502" w:type="pct"/>
            <w:tcBorders>
              <w:top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89.68</w:t>
            </w:r>
          </w:p>
        </w:tc>
        <w:tc>
          <w:tcPr>
            <w:tcW w:w="470" w:type="pct"/>
            <w:tcBorders>
              <w:top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92.01</w:t>
            </w:r>
          </w:p>
        </w:tc>
        <w:tc>
          <w:tcPr>
            <w:tcW w:w="469" w:type="pct"/>
            <w:tcBorders>
              <w:top w:val="single" w:sz="4" w:space="0" w:color="auto"/>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90.74</w:t>
            </w:r>
          </w:p>
        </w:tc>
        <w:tc>
          <w:tcPr>
            <w:tcW w:w="659" w:type="pct"/>
            <w:tcBorders>
              <w:top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91.56</w:t>
            </w:r>
          </w:p>
        </w:tc>
        <w:tc>
          <w:tcPr>
            <w:tcW w:w="595" w:type="pct"/>
            <w:tcBorders>
              <w:top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89.69</w:t>
            </w:r>
          </w:p>
        </w:tc>
        <w:tc>
          <w:tcPr>
            <w:tcW w:w="673" w:type="pct"/>
            <w:tcBorders>
              <w:top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89.57</w:t>
            </w:r>
          </w:p>
        </w:tc>
      </w:tr>
      <w:tr w:rsidR="006A3F2C" w:rsidRPr="00E747A2" w:rsidTr="00275AA8">
        <w:trPr>
          <w:trHeight w:val="373"/>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CP,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44.31</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35.71</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47.43</w:t>
            </w:r>
          </w:p>
        </w:tc>
        <w:tc>
          <w:tcPr>
            <w:tcW w:w="469" w:type="pct"/>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17.06</w:t>
            </w:r>
          </w:p>
        </w:tc>
        <w:tc>
          <w:tcPr>
            <w:tcW w:w="659"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16.60</w:t>
            </w:r>
          </w:p>
        </w:tc>
        <w:tc>
          <w:tcPr>
            <w:tcW w:w="595"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18.60</w:t>
            </w:r>
          </w:p>
        </w:tc>
        <w:tc>
          <w:tcPr>
            <w:tcW w:w="673"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17.16</w:t>
            </w:r>
          </w:p>
        </w:tc>
      </w:tr>
      <w:tr w:rsidR="006A3F2C" w:rsidRPr="00E747A2" w:rsidTr="00275AA8">
        <w:trPr>
          <w:trHeight w:val="157"/>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Ca,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0.33</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0.65</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0.27</w:t>
            </w:r>
          </w:p>
        </w:tc>
        <w:tc>
          <w:tcPr>
            <w:tcW w:w="469" w:type="pct"/>
            <w:vAlign w:val="center"/>
          </w:tcPr>
          <w:p w:rsidR="00C70599" w:rsidRPr="00E747A2" w:rsidRDefault="00C70599" w:rsidP="006975B4">
            <w:pPr>
              <w:spacing w:line="360" w:lineRule="auto"/>
              <w:jc w:val="center"/>
              <w:rPr>
                <w:rFonts w:eastAsiaTheme="minorEastAsia"/>
                <w:color w:val="auto"/>
                <w:szCs w:val="24"/>
                <w:lang w:eastAsia="zh-CN" w:bidi="en-US"/>
              </w:rPr>
            </w:pPr>
            <w:r w:rsidRPr="00E747A2">
              <w:rPr>
                <w:rFonts w:eastAsiaTheme="minorEastAsia"/>
                <w:color w:val="auto"/>
                <w:szCs w:val="24"/>
                <w:lang w:eastAsia="zh-CN" w:bidi="en-US"/>
              </w:rPr>
              <w:t>0.19</w:t>
            </w:r>
          </w:p>
        </w:tc>
        <w:tc>
          <w:tcPr>
            <w:tcW w:w="659"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0.16</w:t>
            </w:r>
          </w:p>
        </w:tc>
        <w:tc>
          <w:tcPr>
            <w:tcW w:w="595"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0.09</w:t>
            </w:r>
          </w:p>
        </w:tc>
        <w:tc>
          <w:tcPr>
            <w:tcW w:w="673"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0.13</w:t>
            </w:r>
          </w:p>
        </w:tc>
      </w:tr>
      <w:tr w:rsidR="006A3F2C" w:rsidRPr="00E747A2" w:rsidTr="00275AA8">
        <w:trPr>
          <w:trHeight w:val="290"/>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Total P,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0.59</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1.00</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0.76</w:t>
            </w:r>
          </w:p>
        </w:tc>
        <w:tc>
          <w:tcPr>
            <w:tcW w:w="469" w:type="pct"/>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0.75</w:t>
            </w:r>
          </w:p>
        </w:tc>
        <w:tc>
          <w:tcPr>
            <w:tcW w:w="659"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0.91</w:t>
            </w:r>
          </w:p>
        </w:tc>
        <w:tc>
          <w:tcPr>
            <w:tcW w:w="595"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0.42</w:t>
            </w:r>
          </w:p>
        </w:tc>
        <w:tc>
          <w:tcPr>
            <w:tcW w:w="673"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0.56</w:t>
            </w:r>
          </w:p>
        </w:tc>
      </w:tr>
      <w:tr w:rsidR="006A3F2C" w:rsidRPr="00E747A2" w:rsidTr="00275AA8">
        <w:trPr>
          <w:trHeight w:val="283"/>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Phytate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1.30</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2.60</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2.20</w:t>
            </w:r>
          </w:p>
        </w:tc>
        <w:tc>
          <w:tcPr>
            <w:tcW w:w="469" w:type="pct"/>
            <w:vAlign w:val="center"/>
          </w:tcPr>
          <w:p w:rsidR="00C70599" w:rsidRPr="00E747A2" w:rsidRDefault="00C70599" w:rsidP="006975B4">
            <w:pPr>
              <w:spacing w:line="360" w:lineRule="auto"/>
              <w:jc w:val="center"/>
              <w:rPr>
                <w:rFonts w:eastAsiaTheme="minorEastAsia"/>
                <w:color w:val="auto"/>
                <w:szCs w:val="24"/>
                <w:lang w:eastAsia="zh-CN" w:bidi="en-US"/>
              </w:rPr>
            </w:pPr>
            <w:r w:rsidRPr="00E747A2">
              <w:rPr>
                <w:rFonts w:eastAsiaTheme="minorEastAsia"/>
                <w:color w:val="auto"/>
                <w:szCs w:val="24"/>
                <w:lang w:eastAsia="zh-CN" w:bidi="en-US"/>
              </w:rPr>
              <w:t>0.18</w:t>
            </w:r>
          </w:p>
        </w:tc>
        <w:tc>
          <w:tcPr>
            <w:tcW w:w="659"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2.55</w:t>
            </w:r>
          </w:p>
        </w:tc>
        <w:tc>
          <w:tcPr>
            <w:tcW w:w="595"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1.03</w:t>
            </w:r>
          </w:p>
        </w:tc>
        <w:tc>
          <w:tcPr>
            <w:tcW w:w="673" w:type="pct"/>
            <w:vAlign w:val="center"/>
          </w:tcPr>
          <w:p w:rsidR="00C70599" w:rsidRPr="00E747A2" w:rsidRDefault="00C70599" w:rsidP="006975B4">
            <w:pPr>
              <w:spacing w:line="360" w:lineRule="auto"/>
              <w:jc w:val="center"/>
              <w:rPr>
                <w:rStyle w:val="a"/>
                <w:rFonts w:eastAsiaTheme="minorEastAsia"/>
                <w:color w:val="auto"/>
                <w:szCs w:val="24"/>
                <w:lang w:eastAsia="zh-CN"/>
              </w:rPr>
            </w:pPr>
            <w:r w:rsidRPr="00E747A2">
              <w:rPr>
                <w:rStyle w:val="a"/>
                <w:rFonts w:eastAsiaTheme="minorEastAsia"/>
                <w:color w:val="auto"/>
                <w:szCs w:val="24"/>
                <w:lang w:eastAsia="zh-CN"/>
              </w:rPr>
              <w:t>1.31</w:t>
            </w:r>
          </w:p>
        </w:tc>
      </w:tr>
      <w:tr w:rsidR="006A3F2C" w:rsidRPr="00E747A2" w:rsidTr="00275AA8">
        <w:trPr>
          <w:trHeight w:val="247"/>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Phytate P</w:t>
            </w:r>
            <w:r w:rsidRPr="00E747A2">
              <w:rPr>
                <w:rStyle w:val="a"/>
                <w:rFonts w:eastAsia="Palatino Linotype"/>
                <w:color w:val="auto"/>
                <w:szCs w:val="24"/>
                <w:vertAlign w:val="superscript"/>
              </w:rPr>
              <w:t>1</w:t>
            </w:r>
            <w:r w:rsidRPr="00E747A2">
              <w:rPr>
                <w:rStyle w:val="a"/>
                <w:rFonts w:eastAsia="Palatino Linotype"/>
                <w:color w:val="auto"/>
                <w:szCs w:val="24"/>
              </w:rPr>
              <w:t>,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0.37</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0.73</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0.62</w:t>
            </w:r>
          </w:p>
        </w:tc>
        <w:tc>
          <w:tcPr>
            <w:tcW w:w="469" w:type="pct"/>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0.05</w:t>
            </w:r>
          </w:p>
        </w:tc>
        <w:tc>
          <w:tcPr>
            <w:tcW w:w="659"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0.72</w:t>
            </w:r>
          </w:p>
        </w:tc>
        <w:tc>
          <w:tcPr>
            <w:tcW w:w="595"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0.29</w:t>
            </w:r>
          </w:p>
        </w:tc>
        <w:tc>
          <w:tcPr>
            <w:tcW w:w="673"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0.37</w:t>
            </w:r>
          </w:p>
        </w:tc>
      </w:tr>
      <w:tr w:rsidR="006A3F2C" w:rsidRPr="00E747A2" w:rsidTr="00275AA8">
        <w:trPr>
          <w:trHeight w:val="290"/>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Phytate P of total P,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62.80</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73.00</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81.58</w:t>
            </w:r>
          </w:p>
        </w:tc>
        <w:tc>
          <w:tcPr>
            <w:tcW w:w="469" w:type="pct"/>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6.67</w:t>
            </w:r>
          </w:p>
        </w:tc>
        <w:tc>
          <w:tcPr>
            <w:tcW w:w="659"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79.12</w:t>
            </w:r>
          </w:p>
        </w:tc>
        <w:tc>
          <w:tcPr>
            <w:tcW w:w="595"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69.05</w:t>
            </w:r>
          </w:p>
        </w:tc>
        <w:tc>
          <w:tcPr>
            <w:tcW w:w="673"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66.07</w:t>
            </w:r>
          </w:p>
        </w:tc>
      </w:tr>
      <w:tr w:rsidR="006A3F2C" w:rsidRPr="00E747A2" w:rsidTr="00275AA8">
        <w:trPr>
          <w:trHeight w:val="373"/>
        </w:trPr>
        <w:tc>
          <w:tcPr>
            <w:tcW w:w="1077" w:type="pct"/>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Non-phytate P</w:t>
            </w:r>
            <w:r w:rsidRPr="00E747A2">
              <w:rPr>
                <w:rStyle w:val="a"/>
                <w:rFonts w:eastAsia="Palatino Linotype"/>
                <w:color w:val="auto"/>
                <w:szCs w:val="24"/>
                <w:vertAlign w:val="superscript"/>
              </w:rPr>
              <w:t>2</w:t>
            </w:r>
            <w:r w:rsidRPr="00E747A2">
              <w:rPr>
                <w:rStyle w:val="a"/>
                <w:rFonts w:eastAsia="Palatino Linotype"/>
                <w:color w:val="auto"/>
                <w:szCs w:val="24"/>
              </w:rPr>
              <w:t>, %</w:t>
            </w:r>
          </w:p>
        </w:tc>
        <w:tc>
          <w:tcPr>
            <w:tcW w:w="554"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0.22</w:t>
            </w:r>
          </w:p>
        </w:tc>
        <w:tc>
          <w:tcPr>
            <w:tcW w:w="502"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0.27</w:t>
            </w:r>
          </w:p>
        </w:tc>
        <w:tc>
          <w:tcPr>
            <w:tcW w:w="470" w:type="pct"/>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0.14</w:t>
            </w:r>
          </w:p>
        </w:tc>
        <w:tc>
          <w:tcPr>
            <w:tcW w:w="469" w:type="pct"/>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0.70</w:t>
            </w:r>
          </w:p>
        </w:tc>
        <w:tc>
          <w:tcPr>
            <w:tcW w:w="659"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0.19</w:t>
            </w:r>
          </w:p>
        </w:tc>
        <w:tc>
          <w:tcPr>
            <w:tcW w:w="595"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0.13</w:t>
            </w:r>
          </w:p>
        </w:tc>
        <w:tc>
          <w:tcPr>
            <w:tcW w:w="673" w:type="pct"/>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0.19</w:t>
            </w:r>
          </w:p>
        </w:tc>
      </w:tr>
      <w:tr w:rsidR="006A3F2C" w:rsidRPr="00E747A2" w:rsidTr="00275AA8">
        <w:trPr>
          <w:trHeight w:val="290"/>
        </w:trPr>
        <w:tc>
          <w:tcPr>
            <w:tcW w:w="1077" w:type="pct"/>
            <w:tcBorders>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widowControl w:val="0"/>
              <w:spacing w:line="360" w:lineRule="auto"/>
              <w:jc w:val="left"/>
              <w:rPr>
                <w:color w:val="auto"/>
                <w:szCs w:val="24"/>
              </w:rPr>
            </w:pPr>
            <w:r w:rsidRPr="00E747A2">
              <w:rPr>
                <w:rStyle w:val="a"/>
                <w:rFonts w:eastAsia="Palatino Linotype"/>
                <w:color w:val="auto"/>
                <w:szCs w:val="24"/>
              </w:rPr>
              <w:t>Non-phytate P of total P, %</w:t>
            </w:r>
          </w:p>
        </w:tc>
        <w:tc>
          <w:tcPr>
            <w:tcW w:w="554" w:type="pct"/>
            <w:tcBorders>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37.29</w:t>
            </w:r>
          </w:p>
        </w:tc>
        <w:tc>
          <w:tcPr>
            <w:tcW w:w="502" w:type="pct"/>
            <w:tcBorders>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27.00</w:t>
            </w:r>
          </w:p>
        </w:tc>
        <w:tc>
          <w:tcPr>
            <w:tcW w:w="470" w:type="pct"/>
            <w:tcBorders>
              <w:bottom w:val="single" w:sz="4" w:space="0" w:color="auto"/>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18.42</w:t>
            </w:r>
          </w:p>
        </w:tc>
        <w:tc>
          <w:tcPr>
            <w:tcW w:w="469" w:type="pct"/>
            <w:tcBorders>
              <w:bottom w:val="single" w:sz="4" w:space="0" w:color="auto"/>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93.33</w:t>
            </w:r>
          </w:p>
        </w:tc>
        <w:tc>
          <w:tcPr>
            <w:tcW w:w="659" w:type="pct"/>
            <w:tcBorders>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20.90</w:t>
            </w:r>
          </w:p>
        </w:tc>
        <w:tc>
          <w:tcPr>
            <w:tcW w:w="595" w:type="pct"/>
            <w:tcBorders>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30.95</w:t>
            </w:r>
          </w:p>
        </w:tc>
        <w:tc>
          <w:tcPr>
            <w:tcW w:w="673" w:type="pct"/>
            <w:tcBorders>
              <w:bottom w:val="single" w:sz="4" w:space="0" w:color="auto"/>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33.93</w:t>
            </w:r>
          </w:p>
        </w:tc>
      </w:tr>
    </w:tbl>
    <w:p w:rsidR="00257313" w:rsidRPr="00E747A2" w:rsidRDefault="00257313" w:rsidP="00A26AD1">
      <w:pPr>
        <w:spacing w:line="480" w:lineRule="auto"/>
        <w:jc w:val="left"/>
        <w:rPr>
          <w:rStyle w:val="a"/>
          <w:rFonts w:eastAsia="Palatino Linotype"/>
          <w:color w:val="auto"/>
          <w:szCs w:val="24"/>
        </w:rPr>
      </w:pPr>
      <w:r w:rsidRPr="00E747A2">
        <w:rPr>
          <w:rStyle w:val="a"/>
          <w:rFonts w:eastAsia="Palatino Linotype"/>
          <w:color w:val="auto"/>
          <w:szCs w:val="24"/>
          <w:vertAlign w:val="superscript"/>
        </w:rPr>
        <w:t>1</w:t>
      </w:r>
      <w:r w:rsidRPr="00E747A2">
        <w:rPr>
          <w:rStyle w:val="a"/>
          <w:rFonts w:eastAsia="Palatino Linotype"/>
          <w:color w:val="auto"/>
          <w:szCs w:val="24"/>
        </w:rPr>
        <w:t>Phytate P was calculated as 28.2% of phytate</w:t>
      </w:r>
      <w:r w:rsidRPr="00E747A2">
        <w:rPr>
          <w:rStyle w:val="a"/>
          <w:rFonts w:eastAsia="Palatino Linotype"/>
          <w:b/>
          <w:bCs/>
          <w:color w:val="auto"/>
          <w:szCs w:val="24"/>
        </w:rPr>
        <w:t xml:space="preserve"> </w:t>
      </w:r>
      <w:r w:rsidR="00382493" w:rsidRPr="00E747A2">
        <w:rPr>
          <w:rStyle w:val="a"/>
          <w:rFonts w:eastAsia="Palatino Linotype"/>
          <w:b/>
          <w:bCs/>
          <w:color w:val="auto"/>
          <w:szCs w:val="24"/>
        </w:rPr>
        <w:fldChar w:fldCharType="begin" w:fldLock="1"/>
      </w:r>
      <w:r w:rsidR="000877D7">
        <w:rPr>
          <w:rStyle w:val="a"/>
          <w:rFonts w:eastAsia="Palatino Linotype"/>
          <w:b/>
          <w:bCs/>
          <w:color w:val="auto"/>
          <w:szCs w:val="24"/>
        </w:rPr>
        <w:instrText>ADDIN CSL_CITATION {"citationItems":[{"id":"ITEM-1","itemData":{"DOI":"10.3920/978-90-8686-668-7","abstract":"Auszüge aus dem Buch als Hardcopy: Resulting from the joint efforts of Inra and the French Association for Animal Production, these new tables present the composition and nutritive value of the raw materials used for feeding the major farm animal species. These data reflect the changes in both raw materials and nutritional concepts. New characteristics have been introduced, including but not limited to net energy (for pigs), availability of amino acids, availability of mineral elements and starch degradability (for ruminants). A reliable scientific reference for feed manufacturers, veterinarians, farmers, researchers, teachers and students.","author":[{"dropping-particle":"","family":"Tran","given":"G..D.","non-dropping-particle":"","parse-names":false,"suffix":""},{"dropping-particle":"","family":"Sauvant","given":"D.","non-dropping-particle":"","parse-names":false,"suffix":""}],"container-title":"Tables of composition and nutritional value of feed materials","edition":"2nd","editor":[{"dropping-particle":"","family":"Sauvant","given":"D.","non-dropping-particle":"","parse-names":false,"suffix":""},{"dropping-particle":"","family":"Perez","given":"J.M.","non-dropping-particle":"","parse-names":false,"suffix":""},{"dropping-particle":"","family":"Tran","given":"G.","non-dropping-particle":"","parse-names":false,"suffix":""}],"id":"ITEM-1","issued":{"date-parts":[["2004"]]},"publisher":"Wageningen Academic Publishers, Wageningen, The Netherlands.pp.17-24","title":"Chemical data and nutritional value","type":"chapter"},"uris":["http://www.mendeley.com/documents/?uuid=b89a01f2-0edc-4634-b798-7261ba492273"]}],"mendeley":{"formattedCitation":"(Tran and Sauvant 2004)","plainTextFormattedCitation":"(Tran and Sauvant 2004)","previouslyFormattedCitation":"(Tran and Sauvant, 2004)"},"properties":{"noteIndex":0},"schema":"https://github.com/citation-style-language/schema/raw/master/csl-citation.json"}</w:instrText>
      </w:r>
      <w:r w:rsidR="00382493" w:rsidRPr="00E747A2">
        <w:rPr>
          <w:rStyle w:val="a"/>
          <w:rFonts w:eastAsia="Palatino Linotype"/>
          <w:b/>
          <w:bCs/>
          <w:color w:val="auto"/>
          <w:szCs w:val="24"/>
        </w:rPr>
        <w:fldChar w:fldCharType="separate"/>
      </w:r>
      <w:r w:rsidR="000877D7" w:rsidRPr="000877D7">
        <w:rPr>
          <w:rStyle w:val="a"/>
          <w:rFonts w:eastAsia="Palatino Linotype"/>
          <w:bCs/>
          <w:noProof/>
          <w:color w:val="auto"/>
          <w:szCs w:val="24"/>
        </w:rPr>
        <w:t>(Tran and Sauvant 2004)</w:t>
      </w:r>
      <w:r w:rsidR="00382493" w:rsidRPr="00E747A2">
        <w:rPr>
          <w:rStyle w:val="a"/>
          <w:rFonts w:eastAsia="Palatino Linotype"/>
          <w:b/>
          <w:bCs/>
          <w:color w:val="auto"/>
          <w:szCs w:val="24"/>
        </w:rPr>
        <w:fldChar w:fldCharType="end"/>
      </w:r>
    </w:p>
    <w:p w:rsidR="00257313" w:rsidRPr="00E747A2" w:rsidRDefault="00257313" w:rsidP="00BE2D61">
      <w:pPr>
        <w:spacing w:line="480" w:lineRule="auto"/>
        <w:jc w:val="left"/>
        <w:rPr>
          <w:rStyle w:val="a"/>
          <w:rFonts w:eastAsia="Palatino Linotype"/>
          <w:color w:val="auto"/>
          <w:szCs w:val="24"/>
        </w:rPr>
      </w:pPr>
      <w:r w:rsidRPr="00E747A2">
        <w:rPr>
          <w:rStyle w:val="a"/>
          <w:rFonts w:eastAsia="Palatino Linotype"/>
          <w:color w:val="auto"/>
          <w:szCs w:val="24"/>
          <w:vertAlign w:val="superscript"/>
        </w:rPr>
        <w:t>2</w:t>
      </w:r>
      <w:r w:rsidRPr="00E747A2">
        <w:rPr>
          <w:rStyle w:val="a"/>
          <w:rFonts w:eastAsia="Palatino Linotype"/>
          <w:color w:val="auto"/>
          <w:szCs w:val="24"/>
        </w:rPr>
        <w:t>Non-phytate P was calculated as the difference between total P and phytate P</w:t>
      </w:r>
    </w:p>
    <w:p w:rsidR="00257313" w:rsidRPr="00E747A2" w:rsidRDefault="00257313" w:rsidP="00BE2D61">
      <w:pPr>
        <w:pStyle w:val="MDPI12title"/>
        <w:spacing w:after="0" w:line="480" w:lineRule="auto"/>
        <w:rPr>
          <w:rStyle w:val="a"/>
          <w:rFonts w:ascii="Times New Roman" w:eastAsia="Palatino Linotype" w:hAnsi="Times New Roman"/>
          <w:b w:val="0"/>
          <w:color w:val="auto"/>
          <w:sz w:val="24"/>
          <w:szCs w:val="24"/>
          <w:vertAlign w:val="superscript"/>
        </w:rPr>
      </w:pPr>
      <w:r w:rsidRPr="00E747A2">
        <w:rPr>
          <w:rFonts w:ascii="Times New Roman" w:hAnsi="Times New Roman"/>
          <w:b w:val="0"/>
          <w:color w:val="auto"/>
          <w:sz w:val="24"/>
          <w:szCs w:val="24"/>
        </w:rPr>
        <w:t>Corn DDGS;</w:t>
      </w:r>
      <w:r w:rsidRPr="00E747A2">
        <w:rPr>
          <w:rFonts w:ascii="Times New Roman" w:hAnsi="Times New Roman"/>
          <w:b w:val="0"/>
          <w:color w:val="auto"/>
          <w:sz w:val="24"/>
          <w:szCs w:val="24"/>
          <w:lang w:eastAsia="zh-CN"/>
        </w:rPr>
        <w:t xml:space="preserve"> corn distiller’s dried grains with solubles</w:t>
      </w:r>
    </w:p>
    <w:p w:rsidR="00257313" w:rsidRPr="00E747A2" w:rsidRDefault="005E773B" w:rsidP="00BE2D61">
      <w:pPr>
        <w:spacing w:line="480" w:lineRule="auto"/>
        <w:jc w:val="left"/>
        <w:rPr>
          <w:rStyle w:val="a"/>
          <w:rFonts w:eastAsiaTheme="minorEastAsia"/>
          <w:b/>
          <w:bCs/>
          <w:color w:val="auto"/>
          <w:szCs w:val="24"/>
          <w:vertAlign w:val="superscript"/>
        </w:rPr>
      </w:pPr>
      <w:r>
        <w:rPr>
          <w:rStyle w:val="a"/>
          <w:rFonts w:eastAsia="Palatino Linotype"/>
          <w:b/>
          <w:bCs/>
          <w:color w:val="auto"/>
          <w:szCs w:val="24"/>
        </w:rPr>
        <w:lastRenderedPageBreak/>
        <w:t>Table 2</w:t>
      </w:r>
      <w:r w:rsidR="00257313" w:rsidRPr="00E747A2">
        <w:rPr>
          <w:rStyle w:val="a"/>
          <w:rFonts w:eastAsia="Palatino Linotype"/>
          <w:b/>
          <w:bCs/>
          <w:color w:val="auto"/>
          <w:szCs w:val="24"/>
        </w:rPr>
        <w:t xml:space="preserve"> </w:t>
      </w:r>
      <w:r w:rsidR="00257313" w:rsidRPr="006975B4">
        <w:rPr>
          <w:rStyle w:val="a"/>
          <w:rFonts w:eastAsia="Palatino Linotype"/>
          <w:color w:val="auto"/>
          <w:szCs w:val="24"/>
        </w:rPr>
        <w:t>Composition of the semi-purified experimental diets (air-dried basis)</w:t>
      </w:r>
      <w:r w:rsidR="00257313" w:rsidRPr="006975B4">
        <w:rPr>
          <w:rStyle w:val="a"/>
          <w:rFonts w:eastAsia="Palatino Linotype"/>
          <w:color w:val="auto"/>
          <w:szCs w:val="24"/>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2"/>
        <w:gridCol w:w="1804"/>
        <w:gridCol w:w="1813"/>
        <w:gridCol w:w="1804"/>
        <w:gridCol w:w="1750"/>
        <w:gridCol w:w="1750"/>
        <w:gridCol w:w="1750"/>
        <w:gridCol w:w="1640"/>
      </w:tblGrid>
      <w:tr w:rsidR="00C70599" w:rsidRPr="00E747A2" w:rsidTr="00275AA8">
        <w:trPr>
          <w:trHeight w:val="283"/>
        </w:trPr>
        <w:tc>
          <w:tcPr>
            <w:tcW w:w="773" w:type="pct"/>
            <w:tcBorders>
              <w:top w:val="single" w:sz="4" w:space="0" w:color="auto"/>
              <w:bottom w:val="single" w:sz="4" w:space="0" w:color="auto"/>
            </w:tcBorders>
            <w:vAlign w:val="center"/>
          </w:tcPr>
          <w:p w:rsidR="00C70599" w:rsidRPr="00E747A2" w:rsidRDefault="00C70599" w:rsidP="006975B4">
            <w:pPr>
              <w:spacing w:line="360" w:lineRule="auto"/>
              <w:contextualSpacing/>
              <w:jc w:val="left"/>
              <w:rPr>
                <w:color w:val="auto"/>
                <w:szCs w:val="24"/>
              </w:rPr>
            </w:pPr>
            <w:r w:rsidRPr="00E747A2">
              <w:rPr>
                <w:color w:val="auto"/>
                <w:szCs w:val="24"/>
              </w:rPr>
              <w:t>Ingredient (%)</w:t>
            </w:r>
          </w:p>
        </w:tc>
        <w:tc>
          <w:tcPr>
            <w:tcW w:w="619"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SBM</w:t>
            </w:r>
          </w:p>
        </w:tc>
        <w:tc>
          <w:tcPr>
            <w:tcW w:w="622"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CNM</w:t>
            </w:r>
          </w:p>
        </w:tc>
        <w:tc>
          <w:tcPr>
            <w:tcW w:w="619"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PM</w:t>
            </w:r>
          </w:p>
        </w:tc>
        <w:tc>
          <w:tcPr>
            <w:tcW w:w="601"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Corn DDGS</w:t>
            </w:r>
          </w:p>
        </w:tc>
        <w:tc>
          <w:tcPr>
            <w:tcW w:w="601"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WB</w:t>
            </w:r>
          </w:p>
        </w:tc>
        <w:tc>
          <w:tcPr>
            <w:tcW w:w="601"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WG</w:t>
            </w:r>
          </w:p>
        </w:tc>
        <w:tc>
          <w:tcPr>
            <w:tcW w:w="563" w:type="pct"/>
            <w:tcBorders>
              <w:top w:val="single" w:sz="4" w:space="0" w:color="auto"/>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WM</w:t>
            </w:r>
          </w:p>
        </w:tc>
      </w:tr>
      <w:tr w:rsidR="00C70599" w:rsidRPr="00E747A2" w:rsidTr="00275AA8">
        <w:trPr>
          <w:trHeight w:val="20"/>
        </w:trPr>
        <w:tc>
          <w:tcPr>
            <w:tcW w:w="773" w:type="pct"/>
            <w:tcBorders>
              <w:top w:val="single" w:sz="4" w:space="0" w:color="auto"/>
            </w:tcBorders>
            <w:vAlign w:val="center"/>
          </w:tcPr>
          <w:p w:rsidR="00C70599" w:rsidRPr="00E747A2" w:rsidRDefault="00C70599" w:rsidP="006975B4">
            <w:pPr>
              <w:spacing w:line="360" w:lineRule="auto"/>
              <w:contextualSpacing/>
              <w:jc w:val="left"/>
              <w:rPr>
                <w:color w:val="auto"/>
                <w:szCs w:val="24"/>
              </w:rPr>
            </w:pPr>
            <w:r w:rsidRPr="00E747A2">
              <w:rPr>
                <w:color w:val="auto"/>
                <w:szCs w:val="24"/>
              </w:rPr>
              <w:t>Test Ingredients</w:t>
            </w:r>
          </w:p>
        </w:tc>
        <w:tc>
          <w:tcPr>
            <w:tcW w:w="619"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40.00</w:t>
            </w:r>
          </w:p>
        </w:tc>
        <w:tc>
          <w:tcPr>
            <w:tcW w:w="622"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42.99</w:t>
            </w:r>
          </w:p>
        </w:tc>
        <w:tc>
          <w:tcPr>
            <w:tcW w:w="619"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35.00</w:t>
            </w:r>
          </w:p>
        </w:tc>
        <w:tc>
          <w:tcPr>
            <w:tcW w:w="601"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56.00</w:t>
            </w:r>
          </w:p>
        </w:tc>
        <w:tc>
          <w:tcPr>
            <w:tcW w:w="601"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65.00</w:t>
            </w:r>
          </w:p>
        </w:tc>
        <w:tc>
          <w:tcPr>
            <w:tcW w:w="601"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85.00</w:t>
            </w:r>
          </w:p>
        </w:tc>
        <w:tc>
          <w:tcPr>
            <w:tcW w:w="563" w:type="pct"/>
            <w:tcBorders>
              <w:top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85.00</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rStyle w:val="a"/>
                <w:rFonts w:eastAsiaTheme="minorEastAsia"/>
                <w:color w:val="auto"/>
                <w:szCs w:val="24"/>
              </w:rPr>
            </w:pPr>
            <w:r w:rsidRPr="00E747A2">
              <w:rPr>
                <w:color w:val="auto"/>
                <w:szCs w:val="24"/>
              </w:rPr>
              <w:t>Corn Starch</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22.00</w:t>
            </w:r>
          </w:p>
        </w:tc>
        <w:tc>
          <w:tcPr>
            <w:tcW w:w="622"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12.10</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30.00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30.20</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16.04</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3.12</w:t>
            </w:r>
          </w:p>
        </w:tc>
        <w:tc>
          <w:tcPr>
            <w:tcW w:w="563" w:type="pct"/>
            <w:vAlign w:val="center"/>
          </w:tcPr>
          <w:p w:rsidR="00C70599" w:rsidRPr="00E747A2" w:rsidRDefault="00C70599" w:rsidP="006975B4">
            <w:pPr>
              <w:spacing w:line="360" w:lineRule="auto"/>
              <w:contextualSpacing/>
              <w:jc w:val="center"/>
              <w:rPr>
                <w:color w:val="auto"/>
                <w:szCs w:val="24"/>
                <w:lang w:bidi="en-US"/>
              </w:rPr>
            </w:pPr>
            <w:r w:rsidRPr="00E747A2">
              <w:rPr>
                <w:color w:val="auto"/>
                <w:szCs w:val="24"/>
              </w:rPr>
              <w:t>2.56</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rStyle w:val="a"/>
                <w:rFonts w:eastAsiaTheme="minorEastAsia"/>
                <w:color w:val="auto"/>
                <w:szCs w:val="24"/>
              </w:rPr>
            </w:pPr>
            <w:r w:rsidRPr="00E747A2">
              <w:rPr>
                <w:color w:val="auto"/>
                <w:szCs w:val="24"/>
              </w:rPr>
              <w:t>Sucrose</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29.00</w:t>
            </w:r>
          </w:p>
        </w:tc>
        <w:tc>
          <w:tcPr>
            <w:tcW w:w="622"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33.00</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25.00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5.00</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5.00</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w:t>
            </w:r>
          </w:p>
        </w:tc>
        <w:tc>
          <w:tcPr>
            <w:tcW w:w="563" w:type="pct"/>
            <w:vAlign w:val="center"/>
          </w:tcPr>
          <w:p w:rsidR="00C70599" w:rsidRPr="00E747A2" w:rsidRDefault="00C70599" w:rsidP="006975B4">
            <w:pPr>
              <w:spacing w:line="360" w:lineRule="auto"/>
              <w:contextualSpacing/>
              <w:jc w:val="center"/>
              <w:rPr>
                <w:color w:val="auto"/>
                <w:szCs w:val="24"/>
                <w:lang w:bidi="en-US"/>
              </w:rPr>
            </w:pPr>
            <w:r w:rsidRPr="00E747A2">
              <w:rPr>
                <w:color w:val="auto"/>
                <w:szCs w:val="24"/>
              </w:rPr>
              <w:t>-</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Soybean oil</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3.00</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5.00</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1.50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3.00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3.00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2.00</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3.00</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Table salt</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0.30</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Limestone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2.05</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1.51</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2.37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2.25</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2.37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2.16</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2.38</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L-lysine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0.63</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0.71</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0.91</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0.85</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0.97</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0.75</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DL-Methioine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0.19</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0.31</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0.12</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0.27</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0.27</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L-Cystine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0.09</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0.22</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0.13</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0.18</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0.12</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0.10</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L-Theronine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0.04</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0.28</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0.41</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0.41</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0.25</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L-Tryptophan</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0.02</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0.04</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0.07</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0.03</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L-Arginine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0.14</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0.35</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0.28</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0.41</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0.18</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L-Glutamine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0.08</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1.35</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0.04</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0.07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4.73</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3.77</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3.78</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Choline chloride</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0.20</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rStyle w:val="a"/>
                <w:color w:val="auto"/>
                <w:szCs w:val="24"/>
              </w:rPr>
            </w:pPr>
            <w:r w:rsidRPr="00E747A2">
              <w:rPr>
                <w:color w:val="auto"/>
                <w:szCs w:val="24"/>
              </w:rPr>
              <w:t>Premix</w:t>
            </w:r>
            <w:r w:rsidRPr="00E747A2">
              <w:rPr>
                <w:color w:val="auto"/>
                <w:szCs w:val="24"/>
                <w:vertAlign w:val="superscript"/>
              </w:rPr>
              <w:t>2</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0.13</w:t>
            </w:r>
          </w:p>
        </w:tc>
        <w:tc>
          <w:tcPr>
            <w:tcW w:w="622"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0.13</w:t>
            </w:r>
          </w:p>
        </w:tc>
        <w:tc>
          <w:tcPr>
            <w:tcW w:w="619" w:type="pct"/>
            <w:vAlign w:val="center"/>
          </w:tcPr>
          <w:p w:rsidR="00C70599" w:rsidRPr="00E747A2" w:rsidRDefault="00C70599" w:rsidP="006975B4">
            <w:pPr>
              <w:spacing w:line="360" w:lineRule="auto"/>
              <w:contextualSpacing/>
              <w:jc w:val="center"/>
              <w:rPr>
                <w:rStyle w:val="a"/>
                <w:rFonts w:eastAsiaTheme="minorEastAsia"/>
                <w:color w:val="auto"/>
                <w:szCs w:val="24"/>
              </w:rPr>
            </w:pPr>
            <w:r w:rsidRPr="00E747A2">
              <w:rPr>
                <w:color w:val="auto"/>
                <w:szCs w:val="24"/>
              </w:rPr>
              <w:t>0.13</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0.13</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0.13</w:t>
            </w:r>
          </w:p>
        </w:tc>
        <w:tc>
          <w:tcPr>
            <w:tcW w:w="601" w:type="pct"/>
            <w:vAlign w:val="center"/>
          </w:tcPr>
          <w:p w:rsidR="00C70599" w:rsidRPr="00E747A2" w:rsidRDefault="00C70599" w:rsidP="006975B4">
            <w:pPr>
              <w:spacing w:line="360" w:lineRule="auto"/>
              <w:contextualSpacing/>
              <w:jc w:val="center"/>
              <w:rPr>
                <w:rStyle w:val="a"/>
                <w:color w:val="auto"/>
                <w:szCs w:val="24"/>
              </w:rPr>
            </w:pPr>
            <w:r w:rsidRPr="00E747A2">
              <w:rPr>
                <w:color w:val="auto"/>
                <w:szCs w:val="24"/>
              </w:rPr>
              <w:t>0.13</w:t>
            </w:r>
          </w:p>
        </w:tc>
        <w:tc>
          <w:tcPr>
            <w:tcW w:w="563" w:type="pct"/>
            <w:vAlign w:val="center"/>
          </w:tcPr>
          <w:p w:rsidR="00C70599" w:rsidRPr="00E747A2" w:rsidRDefault="00C70599" w:rsidP="006975B4">
            <w:pPr>
              <w:spacing w:line="360" w:lineRule="auto"/>
              <w:contextualSpacing/>
              <w:jc w:val="center"/>
              <w:rPr>
                <w:color w:val="auto"/>
                <w:szCs w:val="24"/>
                <w:lang w:bidi="en-US"/>
              </w:rPr>
            </w:pPr>
            <w:r w:rsidRPr="00E747A2">
              <w:rPr>
                <w:color w:val="auto"/>
                <w:szCs w:val="24"/>
              </w:rPr>
              <w:t>0.13</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lastRenderedPageBreak/>
              <w:t>Feed binder</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1.88</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1.33</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2.83</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w:t>
            </w:r>
          </w:p>
        </w:tc>
      </w:tr>
      <w:tr w:rsidR="00C70599" w:rsidRPr="00E747A2" w:rsidTr="00275AA8">
        <w:trPr>
          <w:trHeight w:val="20"/>
        </w:trPr>
        <w:tc>
          <w:tcPr>
            <w:tcW w:w="773" w:type="pct"/>
            <w:vAlign w:val="center"/>
          </w:tcPr>
          <w:p w:rsidR="00C70599" w:rsidRPr="00E747A2" w:rsidRDefault="00C70599" w:rsidP="006975B4">
            <w:pPr>
              <w:spacing w:line="360" w:lineRule="auto"/>
              <w:contextualSpacing/>
              <w:jc w:val="left"/>
              <w:rPr>
                <w:color w:val="auto"/>
                <w:szCs w:val="24"/>
              </w:rPr>
            </w:pPr>
            <w:r w:rsidRPr="00E747A2">
              <w:rPr>
                <w:color w:val="auto"/>
                <w:szCs w:val="24"/>
              </w:rPr>
              <w:t>SiO</w:t>
            </w:r>
            <w:r w:rsidRPr="00E747A2">
              <w:rPr>
                <w:color w:val="auto"/>
                <w:szCs w:val="24"/>
                <w:vertAlign w:val="subscript"/>
              </w:rPr>
              <w:t>2</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622"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619"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601"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c>
          <w:tcPr>
            <w:tcW w:w="563" w:type="pct"/>
            <w:vAlign w:val="center"/>
          </w:tcPr>
          <w:p w:rsidR="00C70599" w:rsidRPr="00E747A2" w:rsidRDefault="00C70599" w:rsidP="006975B4">
            <w:pPr>
              <w:spacing w:line="360" w:lineRule="auto"/>
              <w:contextualSpacing/>
              <w:jc w:val="center"/>
              <w:rPr>
                <w:color w:val="auto"/>
                <w:szCs w:val="24"/>
              </w:rPr>
            </w:pPr>
            <w:r w:rsidRPr="00E747A2">
              <w:rPr>
                <w:color w:val="auto"/>
                <w:szCs w:val="24"/>
              </w:rPr>
              <w:t>1.07</w:t>
            </w:r>
          </w:p>
        </w:tc>
      </w:tr>
      <w:tr w:rsidR="00C70599" w:rsidRPr="00E747A2" w:rsidTr="00275AA8">
        <w:trPr>
          <w:trHeight w:val="20"/>
        </w:trPr>
        <w:tc>
          <w:tcPr>
            <w:tcW w:w="773" w:type="pct"/>
            <w:tcBorders>
              <w:bottom w:val="single" w:sz="4" w:space="0" w:color="auto"/>
            </w:tcBorders>
            <w:vAlign w:val="center"/>
          </w:tcPr>
          <w:p w:rsidR="00C70599" w:rsidRPr="00E747A2" w:rsidRDefault="00C70599" w:rsidP="006975B4">
            <w:pPr>
              <w:spacing w:line="360" w:lineRule="auto"/>
              <w:contextualSpacing/>
              <w:jc w:val="left"/>
              <w:rPr>
                <w:color w:val="auto"/>
                <w:szCs w:val="24"/>
              </w:rPr>
            </w:pPr>
            <w:r w:rsidRPr="00E747A2">
              <w:rPr>
                <w:color w:val="auto"/>
                <w:szCs w:val="24"/>
              </w:rPr>
              <w:t>Total</w:t>
            </w:r>
          </w:p>
        </w:tc>
        <w:tc>
          <w:tcPr>
            <w:tcW w:w="619"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622"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619"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601"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601"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601"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c>
          <w:tcPr>
            <w:tcW w:w="563" w:type="pct"/>
            <w:tcBorders>
              <w:bottom w:val="single" w:sz="4" w:space="0" w:color="auto"/>
            </w:tcBorders>
            <w:vAlign w:val="center"/>
          </w:tcPr>
          <w:p w:rsidR="00C70599" w:rsidRPr="00E747A2" w:rsidRDefault="00C70599" w:rsidP="006975B4">
            <w:pPr>
              <w:spacing w:line="360" w:lineRule="auto"/>
              <w:contextualSpacing/>
              <w:jc w:val="center"/>
              <w:rPr>
                <w:color w:val="auto"/>
                <w:szCs w:val="24"/>
              </w:rPr>
            </w:pPr>
            <w:r w:rsidRPr="00E747A2">
              <w:rPr>
                <w:color w:val="auto"/>
                <w:szCs w:val="24"/>
              </w:rPr>
              <w:t>100</w:t>
            </w:r>
          </w:p>
        </w:tc>
      </w:tr>
    </w:tbl>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vertAlign w:val="superscript"/>
        </w:rPr>
        <w:t>1</w:t>
      </w:r>
      <w:r w:rsidRPr="00E747A2">
        <w:rPr>
          <w:rStyle w:val="a"/>
          <w:rFonts w:eastAsia="Palatino Linotype"/>
          <w:color w:val="auto"/>
          <w:szCs w:val="24"/>
        </w:rPr>
        <w:t xml:space="preserve">SBM: soybean meal; CNM: canola meal; PM: Peanut meal; Corn DDGS: </w:t>
      </w:r>
      <w:r w:rsidRPr="00E747A2">
        <w:rPr>
          <w:snapToGrid w:val="0"/>
          <w:color w:val="auto"/>
          <w:szCs w:val="24"/>
          <w:lang w:eastAsia="zh-CN"/>
        </w:rPr>
        <w:t>corn distiller’s dried grains with solubles</w:t>
      </w:r>
      <w:r w:rsidRPr="00E747A2">
        <w:rPr>
          <w:rStyle w:val="a"/>
          <w:rFonts w:eastAsia="Palatino Linotype"/>
          <w:color w:val="auto"/>
          <w:szCs w:val="24"/>
        </w:rPr>
        <w:t>; WB: wheat bran; WG: wheat grain; WM: wheat middling.</w:t>
      </w:r>
    </w:p>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vertAlign w:val="superscript"/>
        </w:rPr>
        <w:t>2</w:t>
      </w:r>
      <w:r w:rsidRPr="00E747A2">
        <w:rPr>
          <w:rStyle w:val="a"/>
          <w:rFonts w:eastAsia="Palatino Linotype"/>
          <w:color w:val="auto"/>
          <w:szCs w:val="24"/>
        </w:rPr>
        <w:t>Provided the following nutrients (per kg of diet): vitamin A, 10000IU; vitamin D</w:t>
      </w:r>
      <w:r w:rsidRPr="00E747A2">
        <w:rPr>
          <w:rStyle w:val="a"/>
          <w:rFonts w:eastAsia="Palatino Linotype"/>
          <w:color w:val="auto"/>
          <w:szCs w:val="24"/>
          <w:vertAlign w:val="subscript"/>
        </w:rPr>
        <w:t>3</w:t>
      </w:r>
      <w:r w:rsidRPr="00E747A2">
        <w:rPr>
          <w:rStyle w:val="a"/>
          <w:rFonts w:eastAsia="Palatino Linotype"/>
          <w:color w:val="auto"/>
          <w:szCs w:val="24"/>
        </w:rPr>
        <w:t>, 2000IU; vitamin E, 10IU; vitamin K</w:t>
      </w:r>
      <w:r w:rsidRPr="00E747A2">
        <w:rPr>
          <w:rStyle w:val="a"/>
          <w:rFonts w:eastAsia="Palatino Linotype"/>
          <w:color w:val="auto"/>
          <w:szCs w:val="24"/>
          <w:vertAlign w:val="subscript"/>
        </w:rPr>
        <w:t>3</w:t>
      </w:r>
      <w:r w:rsidRPr="00E747A2">
        <w:rPr>
          <w:rStyle w:val="a"/>
          <w:rFonts w:eastAsia="Palatino Linotype"/>
          <w:color w:val="auto"/>
          <w:szCs w:val="24"/>
        </w:rPr>
        <w:t>, 2.5 mg; vitamin B</w:t>
      </w:r>
      <w:r w:rsidRPr="00E747A2">
        <w:rPr>
          <w:rStyle w:val="a"/>
          <w:rFonts w:eastAsia="Palatino Linotype"/>
          <w:color w:val="auto"/>
          <w:szCs w:val="24"/>
          <w:vertAlign w:val="subscript"/>
        </w:rPr>
        <w:t>1</w:t>
      </w:r>
      <w:r w:rsidRPr="00E747A2">
        <w:rPr>
          <w:rStyle w:val="a"/>
          <w:rFonts w:eastAsia="Palatino Linotype"/>
          <w:color w:val="auto"/>
          <w:szCs w:val="24"/>
        </w:rPr>
        <w:t>, 1.8 mg; vitamin B</w:t>
      </w:r>
      <w:r w:rsidRPr="00E747A2">
        <w:rPr>
          <w:rStyle w:val="a"/>
          <w:rFonts w:eastAsia="Palatino Linotype"/>
          <w:color w:val="auto"/>
          <w:szCs w:val="24"/>
          <w:vertAlign w:val="subscript"/>
        </w:rPr>
        <w:t>2</w:t>
      </w:r>
      <w:r w:rsidRPr="00E747A2">
        <w:rPr>
          <w:rStyle w:val="a"/>
          <w:rFonts w:eastAsia="Palatino Linotype"/>
          <w:color w:val="auto"/>
          <w:szCs w:val="24"/>
        </w:rPr>
        <w:t>, 40 mg; vitamin B</w:t>
      </w:r>
      <w:r w:rsidRPr="00E747A2">
        <w:rPr>
          <w:rStyle w:val="a"/>
          <w:rFonts w:eastAsia="Palatino Linotype"/>
          <w:color w:val="auto"/>
          <w:szCs w:val="24"/>
          <w:vertAlign w:val="subscript"/>
        </w:rPr>
        <w:t>6</w:t>
      </w:r>
      <w:r w:rsidRPr="00E747A2">
        <w:rPr>
          <w:rStyle w:val="a"/>
          <w:rFonts w:eastAsia="Palatino Linotype"/>
          <w:color w:val="auto"/>
          <w:szCs w:val="24"/>
        </w:rPr>
        <w:t>, 5.0 mg; vitamin B</w:t>
      </w:r>
      <w:r w:rsidRPr="00E747A2">
        <w:rPr>
          <w:rStyle w:val="a"/>
          <w:rFonts w:eastAsia="Palatino Linotype"/>
          <w:color w:val="auto"/>
          <w:szCs w:val="24"/>
          <w:vertAlign w:val="subscript"/>
        </w:rPr>
        <w:t>12</w:t>
      </w:r>
      <w:r w:rsidRPr="00E747A2">
        <w:rPr>
          <w:rStyle w:val="a"/>
          <w:rFonts w:eastAsia="Palatino Linotype"/>
          <w:color w:val="auto"/>
          <w:szCs w:val="24"/>
        </w:rPr>
        <w:t>, 0.71 mg; biotin, 0.12 mg; folic acid, 0.5 mg; nicotinic acid, 50 mg, D-pantothenic acid, 11 mg; Cu (copper sulfate), 8 mg; Fe (ferrous sulfate), 80 mg; manganese sulfate, 60 mg; Zn (zinc sulfate), 40 mg; I (potassium iodide), 0.35 mg; Se (sodium selenite), 0.15 mg.</w:t>
      </w:r>
    </w:p>
    <w:p w:rsidR="006975B4" w:rsidRDefault="006975B4">
      <w:pPr>
        <w:spacing w:line="240" w:lineRule="auto"/>
        <w:jc w:val="left"/>
        <w:rPr>
          <w:rStyle w:val="a"/>
          <w:rFonts w:eastAsia="Palatino Linotype"/>
          <w:b/>
          <w:bCs/>
          <w:color w:val="auto"/>
          <w:szCs w:val="24"/>
        </w:rPr>
      </w:pPr>
      <w:r>
        <w:rPr>
          <w:rStyle w:val="a"/>
          <w:rFonts w:eastAsia="Palatino Linotype"/>
          <w:b/>
          <w:bCs/>
          <w:color w:val="auto"/>
          <w:szCs w:val="24"/>
        </w:rPr>
        <w:br w:type="page"/>
      </w:r>
    </w:p>
    <w:p w:rsidR="00257313" w:rsidRPr="006975B4" w:rsidRDefault="005E773B" w:rsidP="00BE2D61">
      <w:pPr>
        <w:spacing w:line="480" w:lineRule="auto"/>
        <w:jc w:val="left"/>
        <w:rPr>
          <w:rStyle w:val="a"/>
          <w:rFonts w:eastAsia="Palatino Linotype"/>
          <w:color w:val="auto"/>
          <w:szCs w:val="24"/>
          <w:vertAlign w:val="superscript"/>
        </w:rPr>
      </w:pPr>
      <w:r>
        <w:rPr>
          <w:rStyle w:val="a"/>
          <w:rFonts w:eastAsia="Palatino Linotype"/>
          <w:b/>
          <w:bCs/>
          <w:color w:val="auto"/>
          <w:szCs w:val="24"/>
        </w:rPr>
        <w:lastRenderedPageBreak/>
        <w:t>Table 3</w:t>
      </w:r>
      <w:r w:rsidR="00257313" w:rsidRPr="00E747A2">
        <w:rPr>
          <w:rStyle w:val="a"/>
          <w:rFonts w:eastAsia="Palatino Linotype"/>
          <w:b/>
          <w:bCs/>
          <w:color w:val="auto"/>
          <w:szCs w:val="24"/>
        </w:rPr>
        <w:t xml:space="preserve"> </w:t>
      </w:r>
      <w:r w:rsidR="00257313" w:rsidRPr="006975B4">
        <w:rPr>
          <w:rStyle w:val="a"/>
          <w:rFonts w:eastAsia="Palatino Linotype"/>
          <w:color w:val="auto"/>
          <w:szCs w:val="24"/>
        </w:rPr>
        <w:t xml:space="preserve">Analyzed composition of the semi-purified experimental diets (as </w:t>
      </w:r>
      <w:r w:rsidR="006D68BB" w:rsidRPr="006975B4">
        <w:rPr>
          <w:rStyle w:val="a"/>
          <w:rFonts w:eastAsia="Palatino Linotype"/>
          <w:color w:val="auto"/>
          <w:szCs w:val="24"/>
        </w:rPr>
        <w:t xml:space="preserve">an </w:t>
      </w:r>
      <w:r w:rsidR="00257313" w:rsidRPr="006975B4">
        <w:rPr>
          <w:rStyle w:val="a"/>
          <w:rFonts w:eastAsia="Palatino Linotype"/>
          <w:color w:val="auto"/>
          <w:szCs w:val="24"/>
        </w:rPr>
        <w:t>air-dried basis)</w:t>
      </w:r>
    </w:p>
    <w:tbl>
      <w:tblPr>
        <w:tblStyle w:val="TableNormal2"/>
        <w:tblW w:w="4972"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3170"/>
        <w:gridCol w:w="805"/>
        <w:gridCol w:w="808"/>
        <w:gridCol w:w="805"/>
        <w:gridCol w:w="805"/>
        <w:gridCol w:w="805"/>
        <w:gridCol w:w="805"/>
        <w:gridCol w:w="805"/>
        <w:gridCol w:w="805"/>
        <w:gridCol w:w="805"/>
        <w:gridCol w:w="805"/>
        <w:gridCol w:w="805"/>
        <w:gridCol w:w="805"/>
        <w:gridCol w:w="805"/>
        <w:gridCol w:w="788"/>
      </w:tblGrid>
      <w:tr w:rsidR="006D68BB" w:rsidRPr="00E747A2" w:rsidTr="006A3F2C">
        <w:trPr>
          <w:trHeight w:val="337"/>
          <w:jc w:val="center"/>
        </w:trPr>
        <w:tc>
          <w:tcPr>
            <w:tcW w:w="1099" w:type="pct"/>
            <w:vMerge w:val="restart"/>
            <w:tcBorders>
              <w:top w:val="single" w:sz="4" w:space="0" w:color="000000"/>
              <w:left w:val="nil"/>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rPr>
                <w:rStyle w:val="a"/>
                <w:rFonts w:eastAsia="Palatino Linotype"/>
                <w:color w:val="auto"/>
                <w:szCs w:val="24"/>
              </w:rPr>
            </w:pPr>
            <w:r w:rsidRPr="00E747A2">
              <w:rPr>
                <w:rStyle w:val="a"/>
                <w:rFonts w:eastAsia="Palatino Linotype"/>
                <w:color w:val="auto"/>
                <w:szCs w:val="24"/>
              </w:rPr>
              <w:t>Item</w:t>
            </w:r>
          </w:p>
        </w:tc>
        <w:tc>
          <w:tcPr>
            <w:tcW w:w="3901" w:type="pct"/>
            <w:gridSpan w:val="1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jc w:val="center"/>
              <w:rPr>
                <w:rStyle w:val="a"/>
                <w:rFonts w:eastAsiaTheme="minorEastAsia"/>
                <w:color w:val="auto"/>
                <w:szCs w:val="24"/>
              </w:rPr>
            </w:pPr>
            <w:r w:rsidRPr="00E747A2">
              <w:rPr>
                <w:rStyle w:val="a"/>
                <w:rFonts w:eastAsia="Palatino Linotype"/>
                <w:color w:val="auto"/>
                <w:szCs w:val="24"/>
              </w:rPr>
              <w:t>Diets</w:t>
            </w:r>
            <w:r w:rsidRPr="00E747A2">
              <w:rPr>
                <w:rStyle w:val="a"/>
                <w:rFonts w:eastAsia="Palatino Linotype"/>
                <w:color w:val="auto"/>
                <w:szCs w:val="24"/>
                <w:vertAlign w:val="superscript"/>
              </w:rPr>
              <w:t>1</w:t>
            </w:r>
          </w:p>
        </w:tc>
      </w:tr>
      <w:tr w:rsidR="006D68BB" w:rsidRPr="00E747A2" w:rsidTr="00C900FD">
        <w:trPr>
          <w:trHeight w:val="270"/>
          <w:jc w:val="center"/>
        </w:trPr>
        <w:tc>
          <w:tcPr>
            <w:tcW w:w="1099" w:type="pct"/>
            <w:vMerge/>
            <w:tcBorders>
              <w:left w:val="nil"/>
              <w:bottom w:val="single" w:sz="4" w:space="0" w:color="000000"/>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rPr>
                <w:color w:val="auto"/>
                <w:szCs w:val="24"/>
                <w:vertAlign w:val="superscript"/>
              </w:rPr>
            </w:pPr>
          </w:p>
        </w:tc>
        <w:tc>
          <w:tcPr>
            <w:tcW w:w="559"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jc w:val="center"/>
              <w:rPr>
                <w:color w:val="auto"/>
                <w:szCs w:val="24"/>
              </w:rPr>
            </w:pPr>
            <w:r w:rsidRPr="00E747A2">
              <w:rPr>
                <w:rStyle w:val="a"/>
                <w:rFonts w:eastAsia="Palatino Linotype"/>
                <w:color w:val="auto"/>
                <w:szCs w:val="24"/>
              </w:rPr>
              <w:t>SBM</w:t>
            </w:r>
          </w:p>
        </w:tc>
        <w:tc>
          <w:tcPr>
            <w:tcW w:w="558"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jc w:val="center"/>
              <w:rPr>
                <w:color w:val="auto"/>
                <w:szCs w:val="24"/>
              </w:rPr>
            </w:pPr>
            <w:r w:rsidRPr="00E747A2">
              <w:rPr>
                <w:rStyle w:val="a"/>
                <w:rFonts w:eastAsia="Palatino Linotype"/>
                <w:color w:val="auto"/>
                <w:szCs w:val="24"/>
              </w:rPr>
              <w:t>CNM</w:t>
            </w:r>
          </w:p>
        </w:tc>
        <w:tc>
          <w:tcPr>
            <w:tcW w:w="558"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D68BB" w:rsidRPr="00E747A2" w:rsidRDefault="006D68BB" w:rsidP="006975B4">
            <w:pPr>
              <w:spacing w:line="360" w:lineRule="auto"/>
              <w:jc w:val="center"/>
              <w:rPr>
                <w:color w:val="auto"/>
                <w:szCs w:val="24"/>
              </w:rPr>
            </w:pPr>
            <w:r w:rsidRPr="00E747A2">
              <w:rPr>
                <w:rStyle w:val="a"/>
                <w:rFonts w:eastAsia="Palatino Linotype"/>
                <w:color w:val="auto"/>
                <w:szCs w:val="24"/>
              </w:rPr>
              <w:t>PM</w:t>
            </w:r>
          </w:p>
        </w:tc>
        <w:tc>
          <w:tcPr>
            <w:tcW w:w="558" w:type="pct"/>
            <w:gridSpan w:val="2"/>
            <w:tcBorders>
              <w:top w:val="single" w:sz="4" w:space="0" w:color="000000"/>
              <w:left w:val="nil"/>
              <w:bottom w:val="single" w:sz="4" w:space="0" w:color="000000"/>
              <w:right w:val="nil"/>
            </w:tcBorders>
          </w:tcPr>
          <w:p w:rsidR="006D68BB" w:rsidRPr="00E747A2" w:rsidRDefault="006D68BB" w:rsidP="006975B4">
            <w:pPr>
              <w:spacing w:line="360" w:lineRule="auto"/>
              <w:jc w:val="center"/>
              <w:rPr>
                <w:rStyle w:val="a"/>
                <w:rFonts w:eastAsiaTheme="minorEastAsia"/>
                <w:color w:val="auto"/>
                <w:szCs w:val="24"/>
              </w:rPr>
            </w:pPr>
            <w:r w:rsidRPr="00E747A2">
              <w:rPr>
                <w:rStyle w:val="a"/>
                <w:rFonts w:eastAsiaTheme="minorEastAsia"/>
                <w:color w:val="auto"/>
                <w:szCs w:val="24"/>
              </w:rPr>
              <w:t>Corn DDGS</w:t>
            </w:r>
          </w:p>
        </w:tc>
        <w:tc>
          <w:tcPr>
            <w:tcW w:w="558" w:type="pct"/>
            <w:gridSpan w:val="2"/>
            <w:tcBorders>
              <w:top w:val="single" w:sz="4" w:space="0" w:color="000000"/>
              <w:left w:val="nil"/>
              <w:bottom w:val="single" w:sz="4" w:space="0" w:color="000000"/>
              <w:right w:val="nil"/>
            </w:tcBorders>
            <w:vAlign w:val="center"/>
          </w:tcPr>
          <w:p w:rsidR="006D68BB" w:rsidRPr="00E747A2" w:rsidRDefault="006D68BB" w:rsidP="006975B4">
            <w:pPr>
              <w:spacing w:line="360" w:lineRule="auto"/>
              <w:jc w:val="center"/>
              <w:rPr>
                <w:rStyle w:val="a"/>
                <w:rFonts w:eastAsiaTheme="minorEastAsia"/>
                <w:color w:val="auto"/>
                <w:szCs w:val="24"/>
              </w:rPr>
            </w:pPr>
            <w:r w:rsidRPr="00E747A2">
              <w:rPr>
                <w:rStyle w:val="a"/>
                <w:rFonts w:eastAsiaTheme="minorEastAsia"/>
                <w:color w:val="auto"/>
                <w:szCs w:val="24"/>
              </w:rPr>
              <w:t>WB</w:t>
            </w:r>
          </w:p>
        </w:tc>
        <w:tc>
          <w:tcPr>
            <w:tcW w:w="558" w:type="pct"/>
            <w:gridSpan w:val="2"/>
            <w:tcBorders>
              <w:top w:val="single" w:sz="4" w:space="0" w:color="000000"/>
              <w:left w:val="nil"/>
              <w:bottom w:val="single" w:sz="4" w:space="0" w:color="000000"/>
              <w:right w:val="nil"/>
            </w:tcBorders>
            <w:vAlign w:val="center"/>
          </w:tcPr>
          <w:p w:rsidR="006D68BB" w:rsidRPr="00E747A2" w:rsidRDefault="006D68BB" w:rsidP="006975B4">
            <w:pPr>
              <w:spacing w:line="360" w:lineRule="auto"/>
              <w:jc w:val="center"/>
              <w:rPr>
                <w:rStyle w:val="a"/>
                <w:rFonts w:eastAsiaTheme="minorEastAsia"/>
                <w:color w:val="auto"/>
                <w:szCs w:val="24"/>
              </w:rPr>
            </w:pPr>
            <w:r w:rsidRPr="00E747A2">
              <w:rPr>
                <w:rStyle w:val="a"/>
                <w:rFonts w:eastAsiaTheme="minorEastAsia"/>
                <w:color w:val="auto"/>
                <w:szCs w:val="24"/>
              </w:rPr>
              <w:t>WG</w:t>
            </w:r>
          </w:p>
        </w:tc>
        <w:tc>
          <w:tcPr>
            <w:tcW w:w="552" w:type="pct"/>
            <w:gridSpan w:val="2"/>
            <w:tcBorders>
              <w:top w:val="single" w:sz="4" w:space="0" w:color="000000"/>
              <w:left w:val="nil"/>
              <w:bottom w:val="single" w:sz="4" w:space="0" w:color="000000"/>
              <w:right w:val="nil"/>
            </w:tcBorders>
            <w:vAlign w:val="center"/>
          </w:tcPr>
          <w:p w:rsidR="006D68BB" w:rsidRPr="00E747A2" w:rsidRDefault="006D68BB" w:rsidP="006975B4">
            <w:pPr>
              <w:spacing w:line="360" w:lineRule="auto"/>
              <w:jc w:val="center"/>
              <w:rPr>
                <w:rStyle w:val="a"/>
                <w:rFonts w:eastAsiaTheme="minorEastAsia"/>
                <w:color w:val="auto"/>
                <w:szCs w:val="24"/>
              </w:rPr>
            </w:pPr>
            <w:r w:rsidRPr="00E747A2">
              <w:rPr>
                <w:rStyle w:val="a"/>
                <w:rFonts w:eastAsiaTheme="minorEastAsia"/>
                <w:color w:val="auto"/>
                <w:szCs w:val="24"/>
              </w:rPr>
              <w:t>WM</w:t>
            </w:r>
          </w:p>
        </w:tc>
      </w:tr>
      <w:tr w:rsidR="00C70599" w:rsidRPr="00E747A2" w:rsidTr="00C900FD">
        <w:trPr>
          <w:trHeight w:val="445"/>
          <w:jc w:val="center"/>
        </w:trPr>
        <w:tc>
          <w:tcPr>
            <w:tcW w:w="109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color w:val="auto"/>
                <w:szCs w:val="24"/>
              </w:rPr>
            </w:pPr>
            <w:r w:rsidRPr="00E747A2">
              <w:rPr>
                <w:rStyle w:val="a"/>
                <w:rFonts w:eastAsia="Palatino Linotype"/>
                <w:color w:val="auto"/>
                <w:szCs w:val="24"/>
              </w:rPr>
              <w:t>Phytase addition</w:t>
            </w:r>
            <w:r w:rsidRPr="00E747A2">
              <w:rPr>
                <w:rStyle w:val="a"/>
                <w:rFonts w:eastAsia="Palatino Linotype"/>
                <w:color w:val="auto"/>
                <w:szCs w:val="24"/>
                <w:vertAlign w:val="superscript"/>
              </w:rPr>
              <w:t>2</w:t>
            </w:r>
          </w:p>
        </w:tc>
        <w:tc>
          <w:tcPr>
            <w:tcW w:w="27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80"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9"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c>
          <w:tcPr>
            <w:tcW w:w="273" w:type="pct"/>
            <w:tcBorders>
              <w:top w:val="single" w:sz="4" w:space="0" w:color="000000"/>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w:t>
            </w:r>
          </w:p>
        </w:tc>
      </w:tr>
      <w:tr w:rsidR="00C70599" w:rsidRPr="00E747A2" w:rsidTr="00C900FD">
        <w:trPr>
          <w:trHeight w:val="265"/>
          <w:jc w:val="center"/>
        </w:trPr>
        <w:tc>
          <w:tcPr>
            <w:tcW w:w="109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rStyle w:val="a"/>
                <w:rFonts w:eastAsiaTheme="minorEastAsia"/>
                <w:color w:val="auto"/>
                <w:szCs w:val="24"/>
                <w:vertAlign w:val="superscript"/>
              </w:rPr>
            </w:pPr>
            <w:r w:rsidRPr="00E747A2">
              <w:rPr>
                <w:rStyle w:val="a"/>
                <w:rFonts w:eastAsiaTheme="minorEastAsia"/>
                <w:color w:val="auto"/>
                <w:szCs w:val="24"/>
              </w:rPr>
              <w:t>AME</w:t>
            </w:r>
            <w:r w:rsidRPr="00E747A2">
              <w:rPr>
                <w:rStyle w:val="a"/>
                <w:rFonts w:eastAsiaTheme="minorEastAsia"/>
                <w:color w:val="auto"/>
                <w:szCs w:val="24"/>
                <w:vertAlign w:val="superscript"/>
              </w:rPr>
              <w:t>3</w:t>
            </w:r>
            <w:r w:rsidRPr="00E747A2">
              <w:rPr>
                <w:rStyle w:val="a"/>
                <w:rFonts w:eastAsiaTheme="minorEastAsia"/>
                <w:color w:val="auto"/>
                <w:szCs w:val="24"/>
              </w:rPr>
              <w:t xml:space="preserve"> (MJ.kg)</w:t>
            </w:r>
          </w:p>
        </w:tc>
        <w:tc>
          <w:tcPr>
            <w:tcW w:w="27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80"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9"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c>
          <w:tcPr>
            <w:tcW w:w="273" w:type="pct"/>
            <w:tcBorders>
              <w:top w:val="single" w:sz="4" w:space="0" w:color="auto"/>
              <w:left w:val="nil"/>
              <w:bottom w:val="nil"/>
              <w:right w:val="nil"/>
            </w:tcBorders>
            <w:vAlign w:val="center"/>
          </w:tcPr>
          <w:p w:rsidR="00C70599" w:rsidRPr="00E747A2" w:rsidRDefault="00C70599" w:rsidP="006975B4">
            <w:pPr>
              <w:spacing w:line="360" w:lineRule="auto"/>
              <w:jc w:val="center"/>
              <w:rPr>
                <w:rStyle w:val="a"/>
                <w:rFonts w:eastAsiaTheme="minorEastAsia"/>
                <w:color w:val="auto"/>
                <w:szCs w:val="24"/>
              </w:rPr>
            </w:pPr>
            <w:r w:rsidRPr="00E747A2">
              <w:rPr>
                <w:rStyle w:val="a"/>
                <w:rFonts w:eastAsiaTheme="minorEastAsia"/>
                <w:color w:val="auto"/>
                <w:szCs w:val="24"/>
              </w:rPr>
              <w:t>12.75</w:t>
            </w:r>
          </w:p>
        </w:tc>
      </w:tr>
      <w:tr w:rsidR="00C70599" w:rsidRPr="00E747A2" w:rsidTr="00C900FD">
        <w:trPr>
          <w:trHeight w:val="265"/>
          <w:jc w:val="center"/>
        </w:trPr>
        <w:tc>
          <w:tcPr>
            <w:tcW w:w="109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color w:val="auto"/>
                <w:szCs w:val="24"/>
                <w:vertAlign w:val="superscript"/>
              </w:rPr>
            </w:pPr>
            <w:r w:rsidRPr="00E747A2">
              <w:rPr>
                <w:rStyle w:val="a"/>
                <w:rFonts w:eastAsia="Palatino Linotype"/>
                <w:color w:val="auto"/>
                <w:szCs w:val="24"/>
              </w:rPr>
              <w:t>Crude protein</w:t>
            </w:r>
            <w:r w:rsidRPr="00E747A2">
              <w:rPr>
                <w:rStyle w:val="a"/>
                <w:rFonts w:eastAsia="Palatino Linotype"/>
                <w:color w:val="auto"/>
                <w:szCs w:val="24"/>
                <w:vertAlign w:val="superscript"/>
              </w:rPr>
              <w:t>3</w:t>
            </w:r>
            <w:r w:rsidRPr="00E747A2">
              <w:rPr>
                <w:rStyle w:val="a"/>
                <w:rFonts w:eastAsia="Palatino Linotype"/>
                <w:color w:val="auto"/>
                <w:szCs w:val="24"/>
              </w:rPr>
              <w:t xml:space="preserve"> (%)</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80"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c>
          <w:tcPr>
            <w:tcW w:w="273" w:type="pct"/>
            <w:tcBorders>
              <w:top w:val="nil"/>
              <w:left w:val="nil"/>
              <w:bottom w:val="nil"/>
              <w:right w:val="nil"/>
            </w:tcBorders>
            <w:vAlign w:val="center"/>
          </w:tcPr>
          <w:p w:rsidR="00C70599" w:rsidRPr="00E747A2" w:rsidRDefault="00C70599" w:rsidP="006975B4">
            <w:pPr>
              <w:spacing w:line="360" w:lineRule="auto"/>
              <w:jc w:val="center"/>
              <w:rPr>
                <w:color w:val="auto"/>
                <w:szCs w:val="24"/>
              </w:rPr>
            </w:pPr>
            <w:r w:rsidRPr="00E747A2">
              <w:rPr>
                <w:color w:val="auto"/>
                <w:szCs w:val="24"/>
              </w:rPr>
              <w:t>18.00</w:t>
            </w:r>
          </w:p>
        </w:tc>
      </w:tr>
      <w:tr w:rsidR="00C70599" w:rsidRPr="00E747A2" w:rsidTr="006D68BB">
        <w:trPr>
          <w:trHeight w:val="260"/>
          <w:jc w:val="center"/>
        </w:trPr>
        <w:tc>
          <w:tcPr>
            <w:tcW w:w="109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color w:val="auto"/>
                <w:szCs w:val="24"/>
                <w:vertAlign w:val="superscript"/>
              </w:rPr>
            </w:pPr>
            <w:r w:rsidRPr="00E747A2">
              <w:rPr>
                <w:rStyle w:val="a"/>
                <w:rFonts w:eastAsia="Palatino Linotype"/>
                <w:color w:val="auto"/>
                <w:szCs w:val="24"/>
              </w:rPr>
              <w:t>Dry matter</w:t>
            </w:r>
            <w:r w:rsidRPr="00E747A2">
              <w:rPr>
                <w:rStyle w:val="a"/>
                <w:rFonts w:eastAsia="Palatino Linotype"/>
                <w:color w:val="auto"/>
                <w:szCs w:val="24"/>
                <w:vertAlign w:val="superscript"/>
              </w:rPr>
              <w:t>4</w:t>
            </w:r>
            <w:r w:rsidRPr="00E747A2">
              <w:rPr>
                <w:rStyle w:val="a"/>
                <w:rFonts w:eastAsia="Palatino Linotype"/>
                <w:color w:val="auto"/>
                <w:szCs w:val="24"/>
              </w:rPr>
              <w:t xml:space="preserve"> (%)</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93.97</w:t>
            </w:r>
          </w:p>
        </w:tc>
        <w:tc>
          <w:tcPr>
            <w:tcW w:w="280"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93.84</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94.04</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94.17</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93.34</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93.58</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92.51</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92.18</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92.43</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92.54</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90.82</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91.07</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90.22</w:t>
            </w:r>
          </w:p>
        </w:tc>
        <w:tc>
          <w:tcPr>
            <w:tcW w:w="273"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90.82</w:t>
            </w:r>
          </w:p>
        </w:tc>
      </w:tr>
      <w:tr w:rsidR="00C70599" w:rsidRPr="00E747A2" w:rsidTr="006D68BB">
        <w:trPr>
          <w:trHeight w:val="260"/>
          <w:jc w:val="center"/>
        </w:trPr>
        <w:tc>
          <w:tcPr>
            <w:tcW w:w="109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rStyle w:val="a"/>
                <w:rFonts w:eastAsia="Palatino Linotype"/>
                <w:color w:val="auto"/>
                <w:szCs w:val="24"/>
                <w:vertAlign w:val="superscript"/>
              </w:rPr>
            </w:pPr>
            <w:r w:rsidRPr="00E747A2">
              <w:rPr>
                <w:rStyle w:val="a"/>
                <w:rFonts w:eastAsia="Palatino Linotype"/>
                <w:color w:val="auto"/>
                <w:szCs w:val="24"/>
              </w:rPr>
              <w:t>Ca</w:t>
            </w:r>
            <w:r w:rsidRPr="00E747A2">
              <w:rPr>
                <w:rStyle w:val="a"/>
                <w:rFonts w:eastAsia="Palatino Linotype"/>
                <w:color w:val="auto"/>
                <w:szCs w:val="24"/>
                <w:vertAlign w:val="superscript"/>
              </w:rPr>
              <w:t>4</w:t>
            </w:r>
            <w:r w:rsidRPr="00E747A2">
              <w:rPr>
                <w:rStyle w:val="a"/>
                <w:rFonts w:eastAsia="Palatino Linotype"/>
                <w:color w:val="auto"/>
                <w:szCs w:val="24"/>
              </w:rPr>
              <w:t xml:space="preserve"> (%)</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0.31</w:t>
            </w:r>
          </w:p>
        </w:tc>
        <w:tc>
          <w:tcPr>
            <w:tcW w:w="280"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0.32</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0.56</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0.58</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0.36</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rStyle w:val="a"/>
                <w:rFonts w:eastAsia="Palatino Linotype"/>
                <w:color w:val="auto"/>
                <w:szCs w:val="24"/>
              </w:rPr>
            </w:pPr>
            <w:r w:rsidRPr="00E747A2">
              <w:rPr>
                <w:rStyle w:val="a"/>
                <w:rFonts w:eastAsia="Palatino Linotype"/>
                <w:color w:val="auto"/>
                <w:szCs w:val="24"/>
              </w:rPr>
              <w:t>0.35</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0.50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0.49</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0.63</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0.62</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0.41</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0.40</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0.51</w:t>
            </w:r>
          </w:p>
        </w:tc>
        <w:tc>
          <w:tcPr>
            <w:tcW w:w="273"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0.53</w:t>
            </w:r>
          </w:p>
        </w:tc>
      </w:tr>
      <w:tr w:rsidR="00C70599" w:rsidRPr="00E747A2" w:rsidTr="006D68BB">
        <w:trPr>
          <w:trHeight w:val="260"/>
          <w:jc w:val="center"/>
        </w:trPr>
        <w:tc>
          <w:tcPr>
            <w:tcW w:w="109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color w:val="auto"/>
                <w:szCs w:val="24"/>
                <w:vertAlign w:val="superscript"/>
              </w:rPr>
            </w:pPr>
            <w:r w:rsidRPr="00E747A2">
              <w:rPr>
                <w:rStyle w:val="a"/>
                <w:rFonts w:eastAsia="Palatino Linotype"/>
                <w:color w:val="auto"/>
                <w:szCs w:val="24"/>
              </w:rPr>
              <w:t>Total P</w:t>
            </w:r>
            <w:r w:rsidRPr="00E747A2">
              <w:rPr>
                <w:rStyle w:val="a"/>
                <w:rFonts w:eastAsia="Palatino Linotype"/>
                <w:color w:val="auto"/>
                <w:szCs w:val="24"/>
                <w:vertAlign w:val="superscript"/>
              </w:rPr>
              <w:t>4</w:t>
            </w:r>
            <w:r w:rsidRPr="00E747A2">
              <w:rPr>
                <w:rStyle w:val="a"/>
                <w:rFonts w:eastAsia="Palatino Linotype"/>
                <w:color w:val="auto"/>
                <w:szCs w:val="24"/>
              </w:rPr>
              <w:t xml:space="preserve"> (%)</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0.24</w:t>
            </w:r>
          </w:p>
        </w:tc>
        <w:tc>
          <w:tcPr>
            <w:tcW w:w="280"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0.25</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0.43</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0.45</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0.28</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0.27</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0.38</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0.36</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0.48</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0.49</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0.31</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0.31</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0.36</w:t>
            </w:r>
          </w:p>
        </w:tc>
        <w:tc>
          <w:tcPr>
            <w:tcW w:w="273"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0.38</w:t>
            </w:r>
          </w:p>
        </w:tc>
      </w:tr>
      <w:tr w:rsidR="00C70599" w:rsidRPr="00E747A2" w:rsidTr="00275AA8">
        <w:trPr>
          <w:trHeight w:val="260"/>
          <w:jc w:val="center"/>
        </w:trPr>
        <w:tc>
          <w:tcPr>
            <w:tcW w:w="109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rPr>
                <w:color w:val="auto"/>
                <w:szCs w:val="24"/>
              </w:rPr>
            </w:pPr>
            <w:r w:rsidRPr="00E747A2">
              <w:rPr>
                <w:rStyle w:val="a"/>
                <w:rFonts w:eastAsia="Palatino Linotype"/>
                <w:color w:val="auto"/>
                <w:szCs w:val="24"/>
              </w:rPr>
              <w:t>Ca: P Ratio</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1.29</w:t>
            </w:r>
          </w:p>
        </w:tc>
        <w:tc>
          <w:tcPr>
            <w:tcW w:w="280"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1.28</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1.30</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1.29</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1.29</w:t>
            </w:r>
          </w:p>
        </w:tc>
        <w:tc>
          <w:tcPr>
            <w:tcW w:w="279" w:type="pct"/>
            <w:tcBorders>
              <w:top w:val="nil"/>
              <w:left w:val="nil"/>
              <w:bottom w:val="nil"/>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1.30</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1.32</w:t>
            </w:r>
          </w:p>
        </w:tc>
        <w:tc>
          <w:tcPr>
            <w:tcW w:w="279" w:type="pct"/>
            <w:tcBorders>
              <w:top w:val="nil"/>
              <w:left w:val="nil"/>
              <w:bottom w:val="nil"/>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1.36</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1.31</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1.27</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1.32</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1.29</w:t>
            </w:r>
          </w:p>
        </w:tc>
        <w:tc>
          <w:tcPr>
            <w:tcW w:w="279"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1.42</w:t>
            </w:r>
          </w:p>
        </w:tc>
        <w:tc>
          <w:tcPr>
            <w:tcW w:w="273" w:type="pct"/>
            <w:tcBorders>
              <w:top w:val="nil"/>
              <w:left w:val="nil"/>
              <w:bottom w:val="nil"/>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1.39</w:t>
            </w:r>
          </w:p>
        </w:tc>
      </w:tr>
      <w:tr w:rsidR="00C70599" w:rsidRPr="00E747A2" w:rsidTr="00275AA8">
        <w:trPr>
          <w:trHeight w:val="260"/>
          <w:jc w:val="center"/>
        </w:trPr>
        <w:tc>
          <w:tcPr>
            <w:tcW w:w="109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left"/>
              <w:rPr>
                <w:color w:val="auto"/>
                <w:szCs w:val="24"/>
                <w:vertAlign w:val="superscript"/>
              </w:rPr>
            </w:pPr>
            <w:r w:rsidRPr="00E747A2">
              <w:rPr>
                <w:rStyle w:val="a"/>
                <w:rFonts w:eastAsia="Palatino Linotype"/>
                <w:color w:val="auto"/>
                <w:szCs w:val="24"/>
              </w:rPr>
              <w:t>Phytase activity</w:t>
            </w:r>
            <w:r w:rsidRPr="00E747A2">
              <w:rPr>
                <w:rStyle w:val="a"/>
                <w:rFonts w:eastAsia="Palatino Linotype"/>
                <w:color w:val="auto"/>
                <w:szCs w:val="24"/>
                <w:vertAlign w:val="superscript"/>
              </w:rPr>
              <w:t>4</w:t>
            </w:r>
            <w:r w:rsidRPr="00E747A2">
              <w:rPr>
                <w:rStyle w:val="a"/>
                <w:rFonts w:eastAsia="Palatino Linotype"/>
                <w:color w:val="auto"/>
                <w:szCs w:val="24"/>
              </w:rPr>
              <w:t xml:space="preserve"> (FTU/kg)</w:t>
            </w:r>
          </w:p>
        </w:tc>
        <w:tc>
          <w:tcPr>
            <w:tcW w:w="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0</w:t>
            </w:r>
          </w:p>
        </w:tc>
        <w:tc>
          <w:tcPr>
            <w:tcW w:w="280"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1426</w:t>
            </w:r>
          </w:p>
        </w:tc>
        <w:tc>
          <w:tcPr>
            <w:tcW w:w="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0</w:t>
            </w:r>
          </w:p>
        </w:tc>
        <w:tc>
          <w:tcPr>
            <w:tcW w:w="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1041</w:t>
            </w:r>
          </w:p>
        </w:tc>
        <w:tc>
          <w:tcPr>
            <w:tcW w:w="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color w:val="auto"/>
                <w:szCs w:val="24"/>
              </w:rPr>
              <w:t>0</w:t>
            </w:r>
          </w:p>
        </w:tc>
        <w:tc>
          <w:tcPr>
            <w:tcW w:w="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C70599" w:rsidRPr="00E747A2" w:rsidRDefault="00C70599" w:rsidP="006975B4">
            <w:pPr>
              <w:spacing w:line="360" w:lineRule="auto"/>
              <w:jc w:val="center"/>
              <w:rPr>
                <w:color w:val="auto"/>
                <w:szCs w:val="24"/>
              </w:rPr>
            </w:pPr>
            <w:r w:rsidRPr="00E747A2">
              <w:rPr>
                <w:rStyle w:val="a"/>
                <w:rFonts w:eastAsia="Palatino Linotype"/>
                <w:color w:val="auto"/>
                <w:szCs w:val="24"/>
              </w:rPr>
              <w:t>1335</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0</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color w:val="auto"/>
                <w:szCs w:val="24"/>
                <w:lang w:bidi="en-US"/>
              </w:rPr>
            </w:pPr>
            <w:r w:rsidRPr="00E747A2">
              <w:rPr>
                <w:color w:val="auto"/>
                <w:szCs w:val="24"/>
                <w:lang w:bidi="en-US"/>
              </w:rPr>
              <w:t>935</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1445</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2515</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505</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1480</w:t>
            </w:r>
          </w:p>
        </w:tc>
        <w:tc>
          <w:tcPr>
            <w:tcW w:w="279"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1570</w:t>
            </w:r>
          </w:p>
        </w:tc>
        <w:tc>
          <w:tcPr>
            <w:tcW w:w="273" w:type="pct"/>
            <w:tcBorders>
              <w:top w:val="nil"/>
              <w:left w:val="nil"/>
              <w:bottom w:val="single" w:sz="4" w:space="0" w:color="auto"/>
              <w:right w:val="nil"/>
            </w:tcBorders>
            <w:vAlign w:val="center"/>
          </w:tcPr>
          <w:p w:rsidR="00C70599" w:rsidRPr="00E747A2" w:rsidRDefault="00C70599" w:rsidP="006975B4">
            <w:pPr>
              <w:spacing w:line="360" w:lineRule="auto"/>
              <w:jc w:val="center"/>
              <w:rPr>
                <w:rStyle w:val="a"/>
                <w:rFonts w:eastAsia="Palatino Linotype"/>
                <w:color w:val="auto"/>
                <w:szCs w:val="24"/>
              </w:rPr>
            </w:pPr>
            <w:r w:rsidRPr="00E747A2">
              <w:rPr>
                <w:color w:val="auto"/>
                <w:szCs w:val="24"/>
                <w:lang w:bidi="en-US"/>
              </w:rPr>
              <w:t>2625</w:t>
            </w:r>
          </w:p>
        </w:tc>
      </w:tr>
    </w:tbl>
    <w:p w:rsidR="00257313" w:rsidRPr="00E747A2" w:rsidRDefault="00257313" w:rsidP="006A3F2C">
      <w:pPr>
        <w:spacing w:line="360" w:lineRule="auto"/>
        <w:rPr>
          <w:rStyle w:val="a"/>
          <w:rFonts w:eastAsia="Palatino Linotype"/>
          <w:color w:val="auto"/>
          <w:szCs w:val="24"/>
          <w:vertAlign w:val="superscript"/>
        </w:rPr>
      </w:pPr>
      <w:r w:rsidRPr="00E747A2">
        <w:rPr>
          <w:rStyle w:val="a"/>
          <w:rFonts w:eastAsia="Palatino Linotype"/>
          <w:color w:val="auto"/>
          <w:szCs w:val="24"/>
          <w:vertAlign w:val="superscript"/>
        </w:rPr>
        <w:t>1</w:t>
      </w:r>
      <w:r w:rsidRPr="00E747A2">
        <w:rPr>
          <w:rStyle w:val="a"/>
          <w:rFonts w:eastAsia="Palatino Linotype"/>
          <w:color w:val="auto"/>
          <w:szCs w:val="24"/>
        </w:rPr>
        <w:t xml:space="preserve">SBM: soybean meal; CNM: canola meal; PM: Peanut meal; Corn DDGS: </w:t>
      </w:r>
      <w:r w:rsidRPr="00E747A2">
        <w:rPr>
          <w:snapToGrid w:val="0"/>
          <w:color w:val="auto"/>
          <w:szCs w:val="24"/>
          <w:lang w:eastAsia="zh-CN"/>
        </w:rPr>
        <w:t>corn distiller’s dried grains with solubles</w:t>
      </w:r>
      <w:r w:rsidRPr="00E747A2">
        <w:rPr>
          <w:rStyle w:val="a"/>
          <w:rFonts w:eastAsia="Palatino Linotype"/>
          <w:color w:val="auto"/>
          <w:szCs w:val="24"/>
        </w:rPr>
        <w:t>; WB: wheat bran; WG: wheat grain; WM: wheat middling</w:t>
      </w:r>
    </w:p>
    <w:p w:rsidR="00257313" w:rsidRPr="00E747A2" w:rsidRDefault="00257313" w:rsidP="006A3F2C">
      <w:pPr>
        <w:spacing w:line="360" w:lineRule="auto"/>
        <w:rPr>
          <w:rFonts w:eastAsia="Palatino Linotype"/>
          <w:color w:val="auto"/>
          <w:szCs w:val="24"/>
          <w:lang w:bidi="en-US"/>
        </w:rPr>
      </w:pPr>
      <w:r w:rsidRPr="00E747A2">
        <w:rPr>
          <w:rStyle w:val="a"/>
          <w:rFonts w:eastAsia="Palatino Linotype"/>
          <w:color w:val="auto"/>
          <w:szCs w:val="24"/>
          <w:vertAlign w:val="superscript"/>
        </w:rPr>
        <w:t>2</w:t>
      </w:r>
      <w:r w:rsidRPr="00E747A2">
        <w:rPr>
          <w:rStyle w:val="a"/>
          <w:rFonts w:eastAsia="Palatino Linotype"/>
          <w:color w:val="auto"/>
          <w:szCs w:val="24"/>
        </w:rPr>
        <w:t xml:space="preserve">Microbial phytase addition (-: no addition; +: added 1000 FTU/kg diet), </w:t>
      </w:r>
      <w:r w:rsidRPr="00E747A2">
        <w:rPr>
          <w:rStyle w:val="a"/>
          <w:rFonts w:eastAsiaTheme="minorEastAsia"/>
          <w:bCs/>
          <w:color w:val="auto"/>
          <w:szCs w:val="24"/>
          <w:vertAlign w:val="superscript"/>
        </w:rPr>
        <w:t>3</w:t>
      </w:r>
      <w:r w:rsidRPr="00E747A2">
        <w:rPr>
          <w:rStyle w:val="a"/>
          <w:rFonts w:eastAsiaTheme="minorEastAsia"/>
          <w:bCs/>
          <w:color w:val="auto"/>
          <w:szCs w:val="24"/>
        </w:rPr>
        <w:t xml:space="preserve">calculated value, </w:t>
      </w:r>
      <w:r w:rsidRPr="00E747A2">
        <w:rPr>
          <w:rStyle w:val="a"/>
          <w:rFonts w:eastAsiaTheme="minorEastAsia"/>
          <w:bCs/>
          <w:color w:val="auto"/>
          <w:szCs w:val="24"/>
          <w:vertAlign w:val="superscript"/>
        </w:rPr>
        <w:t>4</w:t>
      </w:r>
      <w:r w:rsidRPr="00E747A2">
        <w:rPr>
          <w:rStyle w:val="a"/>
          <w:rFonts w:eastAsiaTheme="minorEastAsia"/>
          <w:bCs/>
          <w:color w:val="auto"/>
          <w:szCs w:val="24"/>
        </w:rPr>
        <w:t>analyzed value.</w:t>
      </w:r>
    </w:p>
    <w:p w:rsidR="00257313" w:rsidRPr="00E747A2" w:rsidRDefault="00257313" w:rsidP="006975B4">
      <w:pPr>
        <w:spacing w:line="480" w:lineRule="auto"/>
        <w:ind w:left="900" w:hanging="900"/>
        <w:rPr>
          <w:rStyle w:val="a"/>
          <w:rFonts w:eastAsia="Palatino Linotype"/>
          <w:b/>
          <w:bCs/>
          <w:color w:val="auto"/>
          <w:szCs w:val="24"/>
        </w:rPr>
      </w:pPr>
      <w:r w:rsidRPr="00E747A2">
        <w:rPr>
          <w:rStyle w:val="a"/>
          <w:rFonts w:eastAsia="Palatino Linotype"/>
          <w:b/>
          <w:bCs/>
          <w:color w:val="auto"/>
          <w:szCs w:val="24"/>
        </w:rPr>
        <w:lastRenderedPageBreak/>
        <w:t xml:space="preserve">Table </w:t>
      </w:r>
      <w:r w:rsidR="00DA79F9" w:rsidRPr="00E747A2">
        <w:rPr>
          <w:rStyle w:val="a"/>
          <w:rFonts w:eastAsia="Palatino Linotype"/>
          <w:b/>
          <w:bCs/>
          <w:color w:val="auto"/>
          <w:szCs w:val="24"/>
        </w:rPr>
        <w:t>4</w:t>
      </w:r>
      <w:r w:rsidRPr="00E747A2">
        <w:rPr>
          <w:rStyle w:val="a"/>
          <w:rFonts w:eastAsia="Palatino Linotype"/>
          <w:b/>
          <w:bCs/>
          <w:color w:val="auto"/>
          <w:szCs w:val="24"/>
        </w:rPr>
        <w:t xml:space="preserve"> </w:t>
      </w:r>
      <w:r w:rsidRPr="006975B4">
        <w:rPr>
          <w:rStyle w:val="a"/>
          <w:rFonts w:eastAsia="Palatino Linotype"/>
          <w:color w:val="auto"/>
          <w:szCs w:val="24"/>
        </w:rPr>
        <w:t>Apparent availability and true availability of phosphorus in feedstuffs of plant origin with or without phytase addition for 28-31 day old broiler chickens</w:t>
      </w:r>
      <w:r w:rsidRPr="006975B4">
        <w:rPr>
          <w:rStyle w:val="a"/>
          <w:rFonts w:eastAsia="Palatino Linotype"/>
          <w:color w:val="auto"/>
          <w:szCs w:val="24"/>
          <w:vertAlign w:val="superscript"/>
        </w:rPr>
        <w:t>1</w:t>
      </w:r>
    </w:p>
    <w:tbl>
      <w:tblPr>
        <w:tblStyle w:val="TableNormal2"/>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49"/>
        <w:gridCol w:w="1261"/>
        <w:gridCol w:w="3151"/>
        <w:gridCol w:w="1798"/>
        <w:gridCol w:w="3690"/>
        <w:gridCol w:w="2378"/>
      </w:tblGrid>
      <w:tr w:rsidR="005B34AC" w:rsidRPr="00E747A2" w:rsidTr="005B34AC">
        <w:tc>
          <w:tcPr>
            <w:tcW w:w="74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color w:val="auto"/>
                <w:szCs w:val="24"/>
              </w:rPr>
            </w:pPr>
            <w:r w:rsidRPr="00E747A2">
              <w:rPr>
                <w:color w:val="auto"/>
                <w:szCs w:val="24"/>
              </w:rPr>
              <w:t>Ingredient</w:t>
            </w:r>
          </w:p>
        </w:tc>
        <w:tc>
          <w:tcPr>
            <w:tcW w:w="43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Phytase</w:t>
            </w:r>
            <w:r w:rsidRPr="00E747A2">
              <w:rPr>
                <w:rStyle w:val="a"/>
                <w:rFonts w:eastAsia="Palatino Linotype"/>
                <w:color w:val="auto"/>
                <w:szCs w:val="24"/>
                <w:vertAlign w:val="superscript"/>
              </w:rPr>
              <w:t>2</w:t>
            </w:r>
          </w:p>
        </w:tc>
        <w:tc>
          <w:tcPr>
            <w:tcW w:w="109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b/>
                <w:bCs/>
                <w:color w:val="auto"/>
                <w:szCs w:val="24"/>
              </w:rPr>
            </w:pPr>
            <w:r w:rsidRPr="00E747A2">
              <w:rPr>
                <w:rStyle w:val="a"/>
                <w:rFonts w:eastAsia="Palatino Linotype"/>
                <w:color w:val="auto"/>
                <w:szCs w:val="24"/>
              </w:rPr>
              <w:t>Apparent availability of P</w:t>
            </w:r>
          </w:p>
        </w:tc>
        <w:tc>
          <w:tcPr>
            <w:tcW w:w="623" w:type="pct"/>
            <w:tcBorders>
              <w:top w:val="single" w:sz="4" w:space="0" w:color="000000"/>
              <w:left w:val="nil"/>
              <w:bottom w:val="single" w:sz="4" w:space="0" w:color="000000"/>
              <w:right w:val="nil"/>
            </w:tcBorders>
            <w:vAlign w:val="center"/>
          </w:tcPr>
          <w:p w:rsidR="00257313" w:rsidRPr="00E747A2" w:rsidRDefault="00257313" w:rsidP="006975B4">
            <w:pPr>
              <w:spacing w:line="360" w:lineRule="auto"/>
              <w:jc w:val="center"/>
              <w:rPr>
                <w:rStyle w:val="a"/>
                <w:rFonts w:eastAsiaTheme="minorEastAsia"/>
                <w:color w:val="auto"/>
                <w:szCs w:val="24"/>
                <w:vertAlign w:val="superscript"/>
              </w:rPr>
            </w:pPr>
            <w:r w:rsidRPr="00E747A2">
              <w:rPr>
                <w:rStyle w:val="a"/>
                <w:rFonts w:eastAsiaTheme="minorEastAsia"/>
                <w:color w:val="auto"/>
                <w:szCs w:val="24"/>
              </w:rPr>
              <w:t>Increment</w:t>
            </w:r>
            <w:r w:rsidRPr="00E747A2">
              <w:rPr>
                <w:rStyle w:val="a"/>
                <w:rFonts w:eastAsiaTheme="minorEastAsia"/>
                <w:color w:val="auto"/>
                <w:szCs w:val="24"/>
                <w:vertAlign w:val="superscript"/>
              </w:rPr>
              <w:t>3</w:t>
            </w:r>
          </w:p>
        </w:tc>
        <w:tc>
          <w:tcPr>
            <w:tcW w:w="127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b/>
                <w:bCs/>
                <w:color w:val="auto"/>
                <w:szCs w:val="24"/>
                <w:vertAlign w:val="superscript"/>
              </w:rPr>
            </w:pPr>
            <w:r w:rsidRPr="00E747A2">
              <w:rPr>
                <w:rStyle w:val="a"/>
                <w:rFonts w:eastAsia="Palatino Linotype"/>
                <w:color w:val="auto"/>
                <w:szCs w:val="24"/>
              </w:rPr>
              <w:t>True availability of P</w:t>
            </w:r>
            <w:r w:rsidRPr="00E747A2">
              <w:rPr>
                <w:rStyle w:val="a"/>
                <w:rFonts w:eastAsia="Palatino Linotype"/>
                <w:color w:val="auto"/>
                <w:szCs w:val="24"/>
                <w:vertAlign w:val="superscript"/>
              </w:rPr>
              <w:t>4</w:t>
            </w:r>
          </w:p>
        </w:tc>
        <w:tc>
          <w:tcPr>
            <w:tcW w:w="824" w:type="pct"/>
            <w:tcBorders>
              <w:top w:val="single" w:sz="4" w:space="0" w:color="000000"/>
              <w:left w:val="nil"/>
              <w:bottom w:val="single" w:sz="4" w:space="0" w:color="000000"/>
              <w:right w:val="nil"/>
            </w:tcBorders>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Theme="minorEastAsia"/>
                <w:color w:val="auto"/>
                <w:szCs w:val="24"/>
              </w:rPr>
              <w:t>Increment</w:t>
            </w:r>
          </w:p>
        </w:tc>
      </w:tr>
      <w:tr w:rsidR="005B34AC" w:rsidRPr="00E747A2" w:rsidTr="005B34AC">
        <w:tc>
          <w:tcPr>
            <w:tcW w:w="745" w:type="pct"/>
            <w:vMerge w:val="restart"/>
            <w:tcBorders>
              <w:top w:val="single" w:sz="4" w:space="0" w:color="000000"/>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Soybean meal</w:t>
            </w:r>
          </w:p>
        </w:tc>
        <w:tc>
          <w:tcPr>
            <w:tcW w:w="437"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49.84</w:t>
            </w:r>
            <w:r w:rsidRPr="00E747A2">
              <w:rPr>
                <w:rStyle w:val="a"/>
                <w:rFonts w:eastAsia="Palatino Linotype"/>
                <w:color w:val="auto"/>
                <w:szCs w:val="24"/>
                <w:vertAlign w:val="superscript"/>
              </w:rPr>
              <w:t>a</w:t>
            </w:r>
          </w:p>
        </w:tc>
        <w:tc>
          <w:tcPr>
            <w:tcW w:w="623" w:type="pct"/>
            <w:tcBorders>
              <w:top w:val="single" w:sz="4" w:space="0" w:color="000000"/>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17.15</w:t>
            </w:r>
            <w:r w:rsidRPr="00E747A2">
              <w:rPr>
                <w:rStyle w:val="a"/>
                <w:rFonts w:eastAsiaTheme="minorEastAsia"/>
                <w:color w:val="auto"/>
                <w:szCs w:val="24"/>
                <w:vertAlign w:val="superscript"/>
              </w:rPr>
              <w:t>a</w:t>
            </w:r>
          </w:p>
        </w:tc>
        <w:tc>
          <w:tcPr>
            <w:tcW w:w="127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53.90</w:t>
            </w:r>
            <w:r w:rsidRPr="00E747A2">
              <w:rPr>
                <w:rStyle w:val="a"/>
                <w:rFonts w:eastAsia="Palatino Linotype"/>
                <w:color w:val="auto"/>
                <w:szCs w:val="24"/>
                <w:vertAlign w:val="superscript"/>
              </w:rPr>
              <w:t>a</w:t>
            </w:r>
          </w:p>
        </w:tc>
        <w:tc>
          <w:tcPr>
            <w:tcW w:w="824" w:type="pct"/>
            <w:tcBorders>
              <w:top w:val="single" w:sz="4" w:space="0" w:color="000000"/>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16.99</w:t>
            </w:r>
            <w:r w:rsidRPr="00E747A2">
              <w:rPr>
                <w:rStyle w:val="a"/>
                <w:rFonts w:eastAsiaTheme="minorEastAsia"/>
                <w:color w:val="auto"/>
                <w:szCs w:val="24"/>
                <w:vertAlign w:val="superscript"/>
              </w:rPr>
              <w:t>a</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66.99</w:t>
            </w:r>
            <w:r w:rsidRPr="00E747A2">
              <w:rPr>
                <w:rStyle w:val="a"/>
                <w:rFonts w:eastAsia="Palatino Linotype"/>
                <w:color w:val="auto"/>
                <w:szCs w:val="24"/>
                <w:vertAlign w:val="superscript"/>
              </w:rPr>
              <w:t>a</w:t>
            </w:r>
          </w:p>
        </w:tc>
        <w:tc>
          <w:tcPr>
            <w:tcW w:w="623"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(34.41)</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70.89</w:t>
            </w:r>
            <w:r w:rsidRPr="00E747A2">
              <w:rPr>
                <w:rStyle w:val="a"/>
                <w:rFonts w:eastAsia="Palatino Linotype"/>
                <w:color w:val="auto"/>
                <w:szCs w:val="24"/>
                <w:vertAlign w:val="superscript"/>
              </w:rPr>
              <w:t>a</w:t>
            </w:r>
          </w:p>
        </w:tc>
        <w:tc>
          <w:tcPr>
            <w:tcW w:w="824"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(31.52)</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Canola meal</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50.95</w:t>
            </w:r>
            <w:r w:rsidRPr="00E747A2">
              <w:rPr>
                <w:rStyle w:val="a"/>
                <w:rFonts w:eastAsia="Palatino Linotype"/>
                <w:color w:val="auto"/>
                <w:szCs w:val="24"/>
                <w:vertAlign w:val="superscript"/>
              </w:rPr>
              <w:t>a</w:t>
            </w:r>
          </w:p>
        </w:tc>
        <w:tc>
          <w:tcPr>
            <w:tcW w:w="623"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12.38</w:t>
            </w:r>
            <w:r w:rsidRPr="00E747A2">
              <w:rPr>
                <w:rStyle w:val="a"/>
                <w:rFonts w:eastAsiaTheme="minorEastAsia"/>
                <w:color w:val="auto"/>
                <w:szCs w:val="24"/>
                <w:vertAlign w:val="superscript"/>
              </w:rPr>
              <w:t>ab</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53.22</w:t>
            </w:r>
            <w:r w:rsidRPr="00E747A2">
              <w:rPr>
                <w:rStyle w:val="a"/>
                <w:rFonts w:eastAsia="Palatino Linotype"/>
                <w:color w:val="auto"/>
                <w:szCs w:val="24"/>
                <w:vertAlign w:val="superscript"/>
              </w:rPr>
              <w:t>a</w:t>
            </w:r>
          </w:p>
        </w:tc>
        <w:tc>
          <w:tcPr>
            <w:tcW w:w="824"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12.28</w:t>
            </w:r>
            <w:r w:rsidRPr="00E747A2">
              <w:rPr>
                <w:rStyle w:val="a"/>
                <w:rFonts w:eastAsiaTheme="minorEastAsia"/>
                <w:color w:val="auto"/>
                <w:szCs w:val="24"/>
                <w:vertAlign w:val="superscript"/>
              </w:rPr>
              <w:t>ab</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63.33</w:t>
            </w:r>
            <w:r w:rsidRPr="00E747A2">
              <w:rPr>
                <w:rStyle w:val="a"/>
                <w:rFonts w:eastAsia="Palatino Linotype"/>
                <w:color w:val="auto"/>
                <w:szCs w:val="24"/>
                <w:vertAlign w:val="superscript"/>
              </w:rPr>
              <w:t>ab</w:t>
            </w:r>
          </w:p>
        </w:tc>
        <w:tc>
          <w:tcPr>
            <w:tcW w:w="623"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(24.30)</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65.50</w:t>
            </w:r>
            <w:r w:rsidRPr="00E747A2">
              <w:rPr>
                <w:rStyle w:val="a"/>
                <w:rFonts w:eastAsia="Palatino Linotype"/>
                <w:color w:val="auto"/>
                <w:szCs w:val="24"/>
                <w:vertAlign w:val="superscript"/>
              </w:rPr>
              <w:t>b</w:t>
            </w:r>
          </w:p>
        </w:tc>
        <w:tc>
          <w:tcPr>
            <w:tcW w:w="824"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(23.07)</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Peanut meal</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39.28</w:t>
            </w:r>
            <w:r w:rsidRPr="00E747A2">
              <w:rPr>
                <w:rStyle w:val="a"/>
                <w:rFonts w:eastAsia="Palatino Linotype"/>
                <w:color w:val="auto"/>
                <w:szCs w:val="24"/>
                <w:vertAlign w:val="superscript"/>
              </w:rPr>
              <w:t>b</w:t>
            </w:r>
          </w:p>
        </w:tc>
        <w:tc>
          <w:tcPr>
            <w:tcW w:w="623"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4.79</w:t>
            </w:r>
            <w:r w:rsidRPr="00E747A2">
              <w:rPr>
                <w:rStyle w:val="a"/>
                <w:rFonts w:eastAsiaTheme="minorEastAsia"/>
                <w:color w:val="auto"/>
                <w:szCs w:val="24"/>
                <w:vertAlign w:val="superscript"/>
              </w:rPr>
              <w:t>c</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rStyle w:val="a"/>
                <w:rFonts w:eastAsia="Palatino Linotype"/>
                <w:color w:val="auto"/>
                <w:szCs w:val="24"/>
              </w:rPr>
              <w:t>42.76</w:t>
            </w:r>
            <w:r w:rsidRPr="00E747A2">
              <w:rPr>
                <w:rStyle w:val="a"/>
                <w:rFonts w:eastAsia="Palatino Linotype"/>
                <w:color w:val="auto"/>
                <w:szCs w:val="24"/>
                <w:vertAlign w:val="superscript"/>
              </w:rPr>
              <w:t>b</w:t>
            </w:r>
          </w:p>
        </w:tc>
        <w:tc>
          <w:tcPr>
            <w:tcW w:w="824"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4.92</w:t>
            </w:r>
            <w:r w:rsidRPr="00E747A2">
              <w:rPr>
                <w:rStyle w:val="a"/>
                <w:rFonts w:eastAsiaTheme="minorEastAsia"/>
                <w:color w:val="auto"/>
                <w:szCs w:val="24"/>
                <w:vertAlign w:val="superscript"/>
              </w:rPr>
              <w:t>c</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44.07</w:t>
            </w:r>
            <w:r w:rsidRPr="00E747A2">
              <w:rPr>
                <w:rStyle w:val="a"/>
                <w:rFonts w:eastAsia="Palatino Linotype"/>
                <w:color w:val="auto"/>
                <w:szCs w:val="24"/>
                <w:vertAlign w:val="superscript"/>
              </w:rPr>
              <w:t>d</w:t>
            </w:r>
          </w:p>
        </w:tc>
        <w:tc>
          <w:tcPr>
            <w:tcW w:w="623"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(12.19)</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47.68</w:t>
            </w:r>
            <w:r w:rsidRPr="00E747A2">
              <w:rPr>
                <w:rStyle w:val="a"/>
                <w:rFonts w:eastAsia="Palatino Linotype"/>
                <w:color w:val="auto"/>
                <w:szCs w:val="24"/>
                <w:vertAlign w:val="superscript"/>
              </w:rPr>
              <w:t>d</w:t>
            </w:r>
          </w:p>
        </w:tc>
        <w:tc>
          <w:tcPr>
            <w:tcW w:w="824" w:type="pct"/>
            <w:tcBorders>
              <w:top w:val="nil"/>
              <w:left w:val="nil"/>
              <w:bottom w:val="nil"/>
              <w:right w:val="nil"/>
            </w:tcBorders>
          </w:tcPr>
          <w:p w:rsidR="00257313" w:rsidRPr="00E747A2" w:rsidRDefault="00257313" w:rsidP="006975B4">
            <w:pPr>
              <w:spacing w:line="360" w:lineRule="auto"/>
              <w:jc w:val="center"/>
              <w:rPr>
                <w:rStyle w:val="a"/>
                <w:rFonts w:eastAsiaTheme="minorEastAsia"/>
                <w:color w:val="auto"/>
                <w:szCs w:val="24"/>
              </w:rPr>
            </w:pPr>
            <w:r w:rsidRPr="00E747A2">
              <w:rPr>
                <w:rStyle w:val="a"/>
                <w:rFonts w:eastAsiaTheme="minorEastAsia"/>
                <w:color w:val="auto"/>
                <w:szCs w:val="24"/>
              </w:rPr>
              <w:t>(11.51)</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Corn DDGS</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46.91</w:t>
            </w:r>
            <w:r w:rsidRPr="00E747A2">
              <w:rPr>
                <w:color w:val="auto"/>
                <w:szCs w:val="24"/>
                <w:vertAlign w:val="superscript"/>
              </w:rPr>
              <w:t>a</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4.93</w:t>
            </w:r>
            <w:r w:rsidRPr="00E747A2">
              <w:rPr>
                <w:color w:val="auto"/>
                <w:szCs w:val="24"/>
                <w:vertAlign w:val="superscript"/>
              </w:rPr>
              <w:t>c</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49.45</w:t>
            </w:r>
            <w:r w:rsidRPr="00E747A2">
              <w:rPr>
                <w:color w:val="auto"/>
                <w:szCs w:val="24"/>
                <w:vertAlign w:val="superscript"/>
              </w:rPr>
              <w:t>a</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5.07</w:t>
            </w:r>
            <w:r w:rsidRPr="00E747A2">
              <w:rPr>
                <w:color w:val="auto"/>
                <w:szCs w:val="24"/>
                <w:vertAlign w:val="superscript"/>
              </w:rPr>
              <w:t>c</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51.84</w:t>
            </w:r>
            <w:r w:rsidRPr="00E747A2">
              <w:rPr>
                <w:color w:val="auto"/>
                <w:szCs w:val="24"/>
                <w:vertAlign w:val="superscript"/>
              </w:rPr>
              <w:t>c</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(10.51)</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54.51</w:t>
            </w:r>
            <w:r w:rsidRPr="00E747A2">
              <w:rPr>
                <w:color w:val="auto"/>
                <w:szCs w:val="24"/>
                <w:vertAlign w:val="superscript"/>
              </w:rPr>
              <w:t>c</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(10.23)</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Wheat bran</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36.24</w:t>
            </w:r>
            <w:r w:rsidRPr="00E747A2">
              <w:rPr>
                <w:color w:val="auto"/>
                <w:szCs w:val="24"/>
                <w:vertAlign w:val="superscript"/>
              </w:rPr>
              <w:t>b</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13.80</w:t>
            </w:r>
            <w:r w:rsidRPr="00E747A2">
              <w:rPr>
                <w:color w:val="auto"/>
                <w:szCs w:val="24"/>
                <w:vertAlign w:val="superscript"/>
              </w:rPr>
              <w:t>a</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38.26</w:t>
            </w:r>
            <w:r w:rsidRPr="00E747A2">
              <w:rPr>
                <w:color w:val="auto"/>
                <w:szCs w:val="24"/>
                <w:vertAlign w:val="superscript"/>
              </w:rPr>
              <w:t>b</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13.75</w:t>
            </w:r>
            <w:r w:rsidRPr="00E747A2">
              <w:rPr>
                <w:color w:val="auto"/>
                <w:szCs w:val="24"/>
                <w:vertAlign w:val="superscript"/>
              </w:rPr>
              <w:t>a</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50.04</w:t>
            </w:r>
            <w:r w:rsidRPr="00E747A2">
              <w:rPr>
                <w:color w:val="auto"/>
                <w:szCs w:val="24"/>
                <w:vertAlign w:val="superscript"/>
              </w:rPr>
              <w:t>c</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(38.08)</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52.01</w:t>
            </w:r>
            <w:r w:rsidRPr="00E747A2">
              <w:rPr>
                <w:color w:val="auto"/>
                <w:szCs w:val="24"/>
                <w:vertAlign w:val="superscript"/>
              </w:rPr>
              <w:t>cd</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(35.94)</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lastRenderedPageBreak/>
              <w:t>Wheat grain</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33.65</w:t>
            </w:r>
            <w:r w:rsidRPr="00E747A2">
              <w:rPr>
                <w:color w:val="auto"/>
                <w:szCs w:val="24"/>
                <w:vertAlign w:val="superscript"/>
              </w:rPr>
              <w:t>b</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15.17</w:t>
            </w:r>
            <w:r w:rsidRPr="00E747A2">
              <w:rPr>
                <w:color w:val="auto"/>
                <w:szCs w:val="24"/>
                <w:vertAlign w:val="superscript"/>
              </w:rPr>
              <w:t>a</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36.77</w:t>
            </w:r>
            <w:r w:rsidRPr="00E747A2">
              <w:rPr>
                <w:color w:val="auto"/>
                <w:szCs w:val="24"/>
                <w:vertAlign w:val="superscript"/>
              </w:rPr>
              <w:t>b</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15.20</w:t>
            </w:r>
            <w:r w:rsidRPr="00E747A2">
              <w:rPr>
                <w:color w:val="auto"/>
                <w:szCs w:val="24"/>
                <w:vertAlign w:val="superscript"/>
              </w:rPr>
              <w:t>a</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48.82</w:t>
            </w:r>
            <w:r w:rsidRPr="00E747A2">
              <w:rPr>
                <w:color w:val="auto"/>
                <w:szCs w:val="24"/>
                <w:vertAlign w:val="superscript"/>
              </w:rPr>
              <w:t>cd</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(45.08)</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51.97</w:t>
            </w:r>
            <w:r w:rsidRPr="00E747A2">
              <w:rPr>
                <w:color w:val="auto"/>
                <w:szCs w:val="24"/>
                <w:vertAlign w:val="superscript"/>
              </w:rPr>
              <w:t>cd</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(41.34)</w:t>
            </w:r>
          </w:p>
        </w:tc>
      </w:tr>
      <w:tr w:rsidR="005B34AC" w:rsidRPr="00E747A2" w:rsidTr="005B34AC">
        <w:tc>
          <w:tcPr>
            <w:tcW w:w="745"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Wheat middling</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34.27</w:t>
            </w:r>
            <w:r w:rsidRPr="00E747A2">
              <w:rPr>
                <w:color w:val="auto"/>
                <w:szCs w:val="24"/>
                <w:vertAlign w:val="superscript"/>
              </w:rPr>
              <w:t>b</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15.42</w:t>
            </w:r>
            <w:r w:rsidRPr="00E747A2">
              <w:rPr>
                <w:color w:val="auto"/>
                <w:szCs w:val="24"/>
                <w:vertAlign w:val="superscript"/>
              </w:rPr>
              <w:t>a</w:t>
            </w:r>
          </w:p>
        </w:tc>
        <w:tc>
          <w:tcPr>
            <w:tcW w:w="1279" w:type="pct"/>
            <w:tcBorders>
              <w:top w:val="nil"/>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36.95</w:t>
            </w:r>
            <w:r w:rsidRPr="00E747A2">
              <w:rPr>
                <w:color w:val="auto"/>
                <w:szCs w:val="24"/>
                <w:vertAlign w:val="superscript"/>
              </w:rPr>
              <w:t>b</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15.28</w:t>
            </w:r>
            <w:r w:rsidRPr="00E747A2">
              <w:rPr>
                <w:color w:val="auto"/>
                <w:szCs w:val="24"/>
                <w:vertAlign w:val="superscript"/>
              </w:rPr>
              <w:t>a</w:t>
            </w:r>
          </w:p>
        </w:tc>
      </w:tr>
      <w:tr w:rsidR="005B34AC" w:rsidRPr="00E747A2" w:rsidTr="005B34AC">
        <w:tc>
          <w:tcPr>
            <w:tcW w:w="745"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Palatino Linotype"/>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49.69</w:t>
            </w:r>
            <w:r w:rsidRPr="00E747A2">
              <w:rPr>
                <w:color w:val="auto"/>
                <w:szCs w:val="24"/>
                <w:vertAlign w:val="superscript"/>
              </w:rPr>
              <w:t>c</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(45.00)</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color w:val="auto"/>
                <w:szCs w:val="24"/>
              </w:rPr>
              <w:t>52.23</w:t>
            </w:r>
            <w:r w:rsidRPr="00E747A2">
              <w:rPr>
                <w:color w:val="auto"/>
                <w:szCs w:val="24"/>
                <w:vertAlign w:val="superscript"/>
              </w:rPr>
              <w:t>cd</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(41.35)</w:t>
            </w:r>
          </w:p>
        </w:tc>
      </w:tr>
      <w:tr w:rsidR="005B34AC" w:rsidRPr="00E747A2" w:rsidTr="005B34AC">
        <w:tc>
          <w:tcPr>
            <w:tcW w:w="745" w:type="pct"/>
            <w:vMerge w:val="restar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SEM</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1.17</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0.77</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1.17</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0.76</w:t>
            </w:r>
          </w:p>
        </w:tc>
      </w:tr>
      <w:tr w:rsidR="005B34AC" w:rsidRPr="00E747A2" w:rsidTr="005B34AC">
        <w:tc>
          <w:tcPr>
            <w:tcW w:w="745" w:type="pct"/>
            <w:vMerge/>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1.16</w:t>
            </w:r>
          </w:p>
        </w:tc>
        <w:tc>
          <w:tcPr>
            <w:tcW w:w="623"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1.16</w:t>
            </w:r>
          </w:p>
        </w:tc>
        <w:tc>
          <w:tcPr>
            <w:tcW w:w="824" w:type="pct"/>
            <w:tcBorders>
              <w:top w:val="nil"/>
              <w:left w:val="nil"/>
              <w:bottom w:val="nil"/>
              <w:right w:val="nil"/>
            </w:tcBorders>
          </w:tcPr>
          <w:p w:rsidR="00257313" w:rsidRPr="00E747A2" w:rsidRDefault="00257313" w:rsidP="006975B4">
            <w:pPr>
              <w:spacing w:line="360" w:lineRule="auto"/>
              <w:jc w:val="center"/>
              <w:rPr>
                <w:color w:val="auto"/>
                <w:szCs w:val="24"/>
              </w:rPr>
            </w:pPr>
            <w:r w:rsidRPr="00E747A2">
              <w:rPr>
                <w:color w:val="auto"/>
                <w:szCs w:val="24"/>
              </w:rPr>
              <w:t>-</w:t>
            </w:r>
          </w:p>
        </w:tc>
      </w:tr>
      <w:tr w:rsidR="005B34AC" w:rsidRPr="00E747A2" w:rsidTr="005B34AC">
        <w:tc>
          <w:tcPr>
            <w:tcW w:w="745" w:type="pct"/>
            <w:vMerge w:val="restar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P value</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623" w:type="pct"/>
            <w:tcBorders>
              <w:top w:val="nil"/>
              <w:left w:val="nil"/>
              <w:bottom w:val="nil"/>
              <w:right w:val="nil"/>
            </w:tcBorders>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1279" w:type="pct"/>
            <w:tcBorders>
              <w:top w:val="nil"/>
              <w:left w:val="nil"/>
              <w:bottom w:val="nil"/>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824" w:type="pct"/>
            <w:tcBorders>
              <w:top w:val="nil"/>
              <w:left w:val="nil"/>
              <w:bottom w:val="nil"/>
              <w:right w:val="nil"/>
            </w:tcBorders>
          </w:tcPr>
          <w:p w:rsidR="00257313" w:rsidRPr="006A3F2C" w:rsidRDefault="00257313" w:rsidP="006975B4">
            <w:pPr>
              <w:spacing w:line="360" w:lineRule="auto"/>
              <w:jc w:val="center"/>
              <w:rPr>
                <w:b/>
                <w:bCs/>
                <w:color w:val="auto"/>
                <w:szCs w:val="24"/>
              </w:rPr>
            </w:pPr>
            <w:r w:rsidRPr="006A3F2C">
              <w:rPr>
                <w:b/>
                <w:bCs/>
                <w:color w:val="auto"/>
                <w:szCs w:val="24"/>
              </w:rPr>
              <w:t>***</w:t>
            </w:r>
          </w:p>
        </w:tc>
      </w:tr>
      <w:tr w:rsidR="005B34AC" w:rsidRPr="00E747A2" w:rsidTr="005B34AC">
        <w:tc>
          <w:tcPr>
            <w:tcW w:w="745" w:type="pct"/>
            <w:vMerge/>
            <w:tcBorders>
              <w:top w:val="nil"/>
              <w:left w:val="nil"/>
              <w:bottom w:val="single" w:sz="4" w:space="0" w:color="auto"/>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Theme="minorEastAsia"/>
                <w:color w:val="auto"/>
                <w:szCs w:val="24"/>
              </w:rPr>
            </w:pPr>
          </w:p>
        </w:tc>
        <w:tc>
          <w:tcPr>
            <w:tcW w:w="437"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10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623" w:type="pct"/>
            <w:tcBorders>
              <w:top w:val="nil"/>
              <w:left w:val="nil"/>
              <w:bottom w:val="single" w:sz="4" w:space="0" w:color="auto"/>
              <w:right w:val="nil"/>
            </w:tcBorders>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1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824" w:type="pct"/>
            <w:tcBorders>
              <w:top w:val="nil"/>
              <w:left w:val="nil"/>
              <w:bottom w:val="single" w:sz="4" w:space="0" w:color="auto"/>
              <w:right w:val="nil"/>
            </w:tcBorders>
          </w:tcPr>
          <w:p w:rsidR="00257313" w:rsidRPr="006A3F2C" w:rsidRDefault="00257313" w:rsidP="006975B4">
            <w:pPr>
              <w:spacing w:line="360" w:lineRule="auto"/>
              <w:jc w:val="center"/>
              <w:rPr>
                <w:b/>
                <w:bCs/>
                <w:color w:val="auto"/>
                <w:szCs w:val="24"/>
              </w:rPr>
            </w:pPr>
            <w:r w:rsidRPr="006A3F2C">
              <w:rPr>
                <w:b/>
                <w:bCs/>
                <w:color w:val="auto"/>
                <w:szCs w:val="24"/>
              </w:rPr>
              <w:t>***</w:t>
            </w:r>
          </w:p>
        </w:tc>
      </w:tr>
      <w:tr w:rsidR="00257313" w:rsidRPr="00E747A2" w:rsidTr="005B34AC">
        <w:tc>
          <w:tcPr>
            <w:tcW w:w="745" w:type="pct"/>
            <w:tcBorders>
              <w:top w:val="single" w:sz="4" w:space="0" w:color="auto"/>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Theme="minorEastAsia"/>
                <w:color w:val="auto"/>
                <w:szCs w:val="24"/>
              </w:rPr>
            </w:pPr>
          </w:p>
        </w:tc>
        <w:tc>
          <w:tcPr>
            <w:tcW w:w="437" w:type="pct"/>
            <w:tcBorders>
              <w:top w:val="single" w:sz="4" w:space="0" w:color="auto"/>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p>
        </w:tc>
        <w:tc>
          <w:tcPr>
            <w:tcW w:w="3818" w:type="pct"/>
            <w:gridSpan w:val="4"/>
            <w:tcBorders>
              <w:top w:val="single" w:sz="4" w:space="0" w:color="auto"/>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bCs/>
                <w:color w:val="auto"/>
                <w:szCs w:val="24"/>
              </w:rPr>
              <w:t>Probability of ANOVA</w:t>
            </w:r>
          </w:p>
        </w:tc>
      </w:tr>
      <w:tr w:rsidR="005B34AC" w:rsidRPr="00E747A2" w:rsidTr="005B34AC">
        <w:tc>
          <w:tcPr>
            <w:tcW w:w="745"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color w:val="auto"/>
                <w:szCs w:val="24"/>
              </w:rPr>
            </w:pPr>
            <w:r w:rsidRPr="00E747A2">
              <w:rPr>
                <w:color w:val="auto"/>
                <w:szCs w:val="24"/>
              </w:rPr>
              <w:t>Ingredient</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623" w:type="pct"/>
            <w:tcBorders>
              <w:top w:val="nil"/>
              <w:left w:val="nil"/>
              <w:bottom w:val="nil"/>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1279" w:type="pct"/>
            <w:tcBorders>
              <w:top w:val="nil"/>
              <w:left w:val="nil"/>
              <w:bottom w:val="nil"/>
              <w:right w:val="nil"/>
            </w:tcBorders>
            <w:shd w:val="clear" w:color="auto" w:fill="auto"/>
            <w:tcMar>
              <w:top w:w="80" w:type="dxa"/>
              <w:left w:w="80" w:type="dxa"/>
              <w:bottom w:w="80" w:type="dxa"/>
              <w:right w:w="80" w:type="dxa"/>
            </w:tcMa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824" w:type="pct"/>
            <w:tcBorders>
              <w:top w:val="nil"/>
              <w:left w:val="nil"/>
              <w:bottom w:val="nil"/>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r>
      <w:tr w:rsidR="005B34AC" w:rsidRPr="00E747A2" w:rsidTr="005B34AC">
        <w:tc>
          <w:tcPr>
            <w:tcW w:w="745"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color w:val="auto"/>
                <w:szCs w:val="24"/>
              </w:rPr>
            </w:pPr>
            <w:r w:rsidRPr="00E747A2">
              <w:rPr>
                <w:color w:val="auto"/>
                <w:szCs w:val="24"/>
              </w:rPr>
              <w:t>Phytase</w:t>
            </w:r>
          </w:p>
        </w:tc>
        <w:tc>
          <w:tcPr>
            <w:tcW w:w="43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p>
        </w:tc>
        <w:tc>
          <w:tcPr>
            <w:tcW w:w="1092" w:type="pct"/>
            <w:tcBorders>
              <w:top w:val="nil"/>
              <w:left w:val="nil"/>
              <w:bottom w:val="nil"/>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623" w:type="pct"/>
            <w:tcBorders>
              <w:top w:val="nil"/>
              <w:left w:val="nil"/>
              <w:bottom w:val="nil"/>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NS</w:t>
            </w:r>
          </w:p>
        </w:tc>
        <w:tc>
          <w:tcPr>
            <w:tcW w:w="1279" w:type="pct"/>
            <w:tcBorders>
              <w:top w:val="nil"/>
              <w:left w:val="nil"/>
              <w:bottom w:val="nil"/>
              <w:right w:val="nil"/>
            </w:tcBorders>
            <w:shd w:val="clear" w:color="auto" w:fill="auto"/>
            <w:tcMar>
              <w:top w:w="80" w:type="dxa"/>
              <w:left w:w="80" w:type="dxa"/>
              <w:bottom w:w="80" w:type="dxa"/>
              <w:right w:w="80" w:type="dxa"/>
            </w:tcMa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824" w:type="pct"/>
            <w:tcBorders>
              <w:top w:val="nil"/>
              <w:left w:val="nil"/>
              <w:bottom w:val="nil"/>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NS</w:t>
            </w:r>
          </w:p>
        </w:tc>
      </w:tr>
      <w:tr w:rsidR="005B34AC" w:rsidRPr="00E747A2" w:rsidTr="005B34AC">
        <w:tc>
          <w:tcPr>
            <w:tcW w:w="745"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color w:val="auto"/>
                <w:szCs w:val="24"/>
              </w:rPr>
            </w:pPr>
            <w:r w:rsidRPr="00E747A2">
              <w:rPr>
                <w:color w:val="auto"/>
                <w:szCs w:val="24"/>
              </w:rPr>
              <w:t>Ingredient*phytase</w:t>
            </w:r>
          </w:p>
        </w:tc>
        <w:tc>
          <w:tcPr>
            <w:tcW w:w="437"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p>
        </w:tc>
        <w:tc>
          <w:tcPr>
            <w:tcW w:w="10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623" w:type="pct"/>
            <w:tcBorders>
              <w:top w:val="nil"/>
              <w:left w:val="nil"/>
              <w:bottom w:val="single" w:sz="4" w:space="0" w:color="auto"/>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127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c>
          <w:tcPr>
            <w:tcW w:w="824" w:type="pct"/>
            <w:tcBorders>
              <w:top w:val="nil"/>
              <w:left w:val="nil"/>
              <w:bottom w:val="single" w:sz="4" w:space="0" w:color="auto"/>
              <w:right w:val="nil"/>
            </w:tcBorders>
            <w:vAlign w:val="center"/>
          </w:tcPr>
          <w:p w:rsidR="00257313" w:rsidRPr="006A3F2C" w:rsidRDefault="00257313" w:rsidP="006975B4">
            <w:pPr>
              <w:spacing w:line="360" w:lineRule="auto"/>
              <w:jc w:val="center"/>
              <w:rPr>
                <w:b/>
                <w:bCs/>
                <w:color w:val="auto"/>
                <w:szCs w:val="24"/>
              </w:rPr>
            </w:pPr>
            <w:r w:rsidRPr="006A3F2C">
              <w:rPr>
                <w:b/>
                <w:bCs/>
                <w:color w:val="auto"/>
                <w:szCs w:val="24"/>
              </w:rPr>
              <w:t>*</w:t>
            </w:r>
          </w:p>
        </w:tc>
      </w:tr>
    </w:tbl>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rPr>
        <w:t xml:space="preserve">SEM, </w:t>
      </w:r>
      <w:r w:rsidR="009E5CA9" w:rsidRPr="00E747A2">
        <w:rPr>
          <w:rStyle w:val="a"/>
          <w:rFonts w:eastAsia="Palatino Linotype"/>
          <w:color w:val="auto"/>
          <w:szCs w:val="24"/>
        </w:rPr>
        <w:t xml:space="preserve">the </w:t>
      </w:r>
      <w:r w:rsidRPr="00E747A2">
        <w:rPr>
          <w:rStyle w:val="a"/>
          <w:rFonts w:eastAsia="Palatino Linotype"/>
          <w:color w:val="auto"/>
          <w:szCs w:val="24"/>
        </w:rPr>
        <w:t>standard error of the mean; P, phosphorus</w:t>
      </w:r>
    </w:p>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rPr>
        <w:lastRenderedPageBreak/>
        <w:t>NS: not significant;</w:t>
      </w:r>
      <w:r w:rsidRPr="006A3F2C">
        <w:rPr>
          <w:rStyle w:val="a"/>
          <w:rFonts w:eastAsia="Palatino Linotype"/>
          <w:b/>
          <w:bCs/>
          <w:color w:val="auto"/>
          <w:szCs w:val="24"/>
        </w:rPr>
        <w:t xml:space="preserve"> *:</w:t>
      </w:r>
      <w:r w:rsidRPr="00E747A2">
        <w:rPr>
          <w:rStyle w:val="a"/>
          <w:rFonts w:eastAsia="Palatino Linotype"/>
          <w:color w:val="auto"/>
          <w:szCs w:val="24"/>
        </w:rPr>
        <w:t xml:space="preserve"> p&lt;0.05; </w:t>
      </w:r>
      <w:r w:rsidRPr="006A3F2C">
        <w:rPr>
          <w:rStyle w:val="a"/>
          <w:rFonts w:eastAsia="Palatino Linotype"/>
          <w:b/>
          <w:bCs/>
          <w:color w:val="auto"/>
          <w:szCs w:val="24"/>
        </w:rPr>
        <w:t>***</w:t>
      </w:r>
      <w:r w:rsidRPr="00E747A2">
        <w:rPr>
          <w:rStyle w:val="a"/>
          <w:rFonts w:eastAsia="Palatino Linotype"/>
          <w:color w:val="auto"/>
          <w:szCs w:val="24"/>
        </w:rPr>
        <w:t>: p&lt; 0.001</w:t>
      </w:r>
    </w:p>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vertAlign w:val="superscript"/>
        </w:rPr>
        <w:t>1)</w:t>
      </w:r>
      <w:r w:rsidRPr="00E747A2">
        <w:rPr>
          <w:rStyle w:val="a"/>
          <w:rFonts w:eastAsia="Palatino Linotype"/>
          <w:color w:val="auto"/>
          <w:szCs w:val="24"/>
        </w:rPr>
        <w:t xml:space="preserve"> Values represent means of 6 replicates with 6 chicks per each cage </w:t>
      </w:r>
    </w:p>
    <w:p w:rsidR="00257313" w:rsidRPr="00E747A2" w:rsidRDefault="00257313" w:rsidP="00BE2D61">
      <w:pPr>
        <w:spacing w:line="480" w:lineRule="auto"/>
        <w:ind w:left="180" w:hanging="180"/>
        <w:rPr>
          <w:rStyle w:val="a"/>
          <w:rFonts w:eastAsia="Palatino Linotype"/>
          <w:color w:val="auto"/>
          <w:szCs w:val="24"/>
        </w:rPr>
      </w:pPr>
      <w:r w:rsidRPr="00E747A2">
        <w:rPr>
          <w:rStyle w:val="a"/>
          <w:rFonts w:eastAsia="Palatino Linotype"/>
          <w:color w:val="auto"/>
          <w:szCs w:val="24"/>
          <w:vertAlign w:val="superscript"/>
        </w:rPr>
        <w:t>2)</w:t>
      </w:r>
      <w:r w:rsidRPr="00E747A2">
        <w:rPr>
          <w:rStyle w:val="a"/>
          <w:rFonts w:eastAsia="Palatino Linotype"/>
          <w:color w:val="auto"/>
          <w:szCs w:val="24"/>
        </w:rPr>
        <w:t xml:space="preserve"> Microbial phytase was added in the diets containing phytase at 1000U/kg complete feed (-, no phytase; +, with 1000U/kg microbial phytase)</w:t>
      </w:r>
    </w:p>
    <w:p w:rsidR="00257313" w:rsidRPr="00E747A2" w:rsidRDefault="00257313" w:rsidP="00BE2D61">
      <w:pPr>
        <w:spacing w:line="480" w:lineRule="auto"/>
        <w:ind w:left="180" w:hanging="180"/>
        <w:rPr>
          <w:rStyle w:val="a"/>
          <w:rFonts w:eastAsia="Palatino Linotype"/>
          <w:color w:val="auto"/>
          <w:szCs w:val="24"/>
        </w:rPr>
      </w:pPr>
      <w:r w:rsidRPr="00E747A2">
        <w:rPr>
          <w:rStyle w:val="a"/>
          <w:rFonts w:eastAsia="Palatino Linotype"/>
          <w:color w:val="auto"/>
          <w:szCs w:val="24"/>
          <w:vertAlign w:val="superscript"/>
        </w:rPr>
        <w:t xml:space="preserve">3)  </w:t>
      </w:r>
      <w:r w:rsidRPr="00E747A2">
        <w:rPr>
          <w:rStyle w:val="a"/>
          <w:rFonts w:eastAsia="Palatino Linotype"/>
          <w:color w:val="auto"/>
          <w:szCs w:val="24"/>
        </w:rPr>
        <w:t xml:space="preserve">The increment shows </w:t>
      </w:r>
      <w:r w:rsidR="009E5CA9" w:rsidRPr="00E747A2">
        <w:rPr>
          <w:rStyle w:val="a"/>
          <w:rFonts w:eastAsia="Palatino Linotype"/>
          <w:color w:val="auto"/>
          <w:szCs w:val="24"/>
        </w:rPr>
        <w:t xml:space="preserve">an </w:t>
      </w:r>
      <w:r w:rsidRPr="00E747A2">
        <w:rPr>
          <w:rStyle w:val="a"/>
          <w:rFonts w:eastAsia="Palatino Linotype"/>
          <w:color w:val="auto"/>
          <w:szCs w:val="24"/>
        </w:rPr>
        <w:t xml:space="preserve">increase </w:t>
      </w:r>
      <w:r w:rsidR="009E5CA9" w:rsidRPr="00E747A2">
        <w:rPr>
          <w:rStyle w:val="a"/>
          <w:rFonts w:eastAsia="Palatino Linotype"/>
          <w:color w:val="auto"/>
          <w:szCs w:val="24"/>
        </w:rPr>
        <w:t>in</w:t>
      </w:r>
      <w:r w:rsidRPr="00E747A2">
        <w:rPr>
          <w:rStyle w:val="a"/>
          <w:rFonts w:eastAsia="Palatino Linotype"/>
          <w:color w:val="auto"/>
          <w:szCs w:val="24"/>
        </w:rPr>
        <w:t xml:space="preserve"> percentage point by phytase addition. The data </w:t>
      </w:r>
      <w:hyperlink r:id="rId21" w:history="1">
        <w:r w:rsidRPr="00E747A2">
          <w:rPr>
            <w:rStyle w:val="a"/>
            <w:rFonts w:eastAsia="Palatino Linotype"/>
            <w:color w:val="auto"/>
            <w:szCs w:val="24"/>
          </w:rPr>
          <w:t>in</w:t>
        </w:r>
      </w:hyperlink>
      <w:r w:rsidRPr="00E747A2">
        <w:rPr>
          <w:color w:val="auto"/>
          <w:szCs w:val="24"/>
        </w:rPr>
        <w:t xml:space="preserve"> </w:t>
      </w:r>
      <w:hyperlink r:id="rId22" w:history="1">
        <w:r w:rsidRPr="00E747A2">
          <w:rPr>
            <w:rStyle w:val="a"/>
            <w:rFonts w:eastAsia="Palatino Linotype"/>
            <w:color w:val="auto"/>
            <w:szCs w:val="24"/>
          </w:rPr>
          <w:t>parentheses</w:t>
        </w:r>
      </w:hyperlink>
      <w:r w:rsidRPr="00E747A2">
        <w:rPr>
          <w:rStyle w:val="a"/>
          <w:rFonts w:eastAsia="Palatino Linotype"/>
          <w:color w:val="auto"/>
          <w:szCs w:val="24"/>
        </w:rPr>
        <w:t xml:space="preserve"> represent the relative magnitude of the improvement.</w:t>
      </w:r>
    </w:p>
    <w:p w:rsidR="00257313" w:rsidRPr="00E747A2" w:rsidRDefault="00257313" w:rsidP="00BE2D61">
      <w:pPr>
        <w:spacing w:line="480" w:lineRule="auto"/>
        <w:ind w:left="180" w:hanging="180"/>
        <w:rPr>
          <w:rStyle w:val="a"/>
          <w:rFonts w:eastAsia="Palatino Linotype"/>
          <w:color w:val="auto"/>
          <w:szCs w:val="24"/>
        </w:rPr>
      </w:pPr>
      <w:r w:rsidRPr="00E747A2">
        <w:rPr>
          <w:rStyle w:val="a"/>
          <w:rFonts w:eastAsia="Palatino Linotype"/>
          <w:color w:val="auto"/>
          <w:szCs w:val="24"/>
          <w:vertAlign w:val="superscript"/>
        </w:rPr>
        <w:t>4)</w:t>
      </w:r>
      <w:r w:rsidRPr="00E747A2">
        <w:rPr>
          <w:rStyle w:val="a"/>
          <w:rFonts w:eastAsia="Palatino Linotype"/>
          <w:color w:val="auto"/>
          <w:szCs w:val="24"/>
        </w:rPr>
        <w:t xml:space="preserve"> Values for </w:t>
      </w:r>
      <w:r w:rsidR="009E5CA9" w:rsidRPr="00E747A2">
        <w:rPr>
          <w:rStyle w:val="a"/>
          <w:rFonts w:eastAsia="Palatino Linotype"/>
          <w:color w:val="auto"/>
          <w:szCs w:val="24"/>
        </w:rPr>
        <w:t xml:space="preserve">the </w:t>
      </w:r>
      <w:r w:rsidRPr="00E747A2">
        <w:rPr>
          <w:rStyle w:val="a"/>
          <w:rFonts w:eastAsia="Palatino Linotype"/>
          <w:color w:val="auto"/>
          <w:szCs w:val="24"/>
        </w:rPr>
        <w:t xml:space="preserve">true availability of P were calculated by correcting values of apparent availability of P with </w:t>
      </w:r>
      <w:r w:rsidR="009E5CA9" w:rsidRPr="00E747A2">
        <w:rPr>
          <w:rStyle w:val="a"/>
          <w:rFonts w:eastAsia="Palatino Linotype"/>
          <w:color w:val="auto"/>
          <w:szCs w:val="24"/>
        </w:rPr>
        <w:t xml:space="preserve">an </w:t>
      </w:r>
      <w:r w:rsidRPr="00E747A2">
        <w:rPr>
          <w:rStyle w:val="a"/>
          <w:rFonts w:eastAsia="Palatino Linotype"/>
          <w:color w:val="auto"/>
          <w:szCs w:val="24"/>
        </w:rPr>
        <w:t>average EPL value of 97.45 (mg/kg DMI), dry matter intake (DMI) determined using P-free diet (n=6)</w:t>
      </w:r>
    </w:p>
    <w:p w:rsidR="006975B4" w:rsidRDefault="006975B4">
      <w:pPr>
        <w:spacing w:line="240" w:lineRule="auto"/>
        <w:jc w:val="left"/>
        <w:rPr>
          <w:rStyle w:val="a"/>
          <w:rFonts w:eastAsia="Palatino Linotype"/>
          <w:b/>
          <w:bCs/>
          <w:color w:val="auto"/>
          <w:szCs w:val="24"/>
        </w:rPr>
      </w:pPr>
      <w:r>
        <w:rPr>
          <w:rStyle w:val="a"/>
          <w:rFonts w:eastAsia="Palatino Linotype"/>
          <w:b/>
          <w:bCs/>
          <w:color w:val="auto"/>
          <w:szCs w:val="24"/>
        </w:rPr>
        <w:br w:type="page"/>
      </w:r>
    </w:p>
    <w:p w:rsidR="00257313" w:rsidRPr="006975B4" w:rsidRDefault="00257313" w:rsidP="00BE2D61">
      <w:pPr>
        <w:spacing w:line="480" w:lineRule="auto"/>
        <w:rPr>
          <w:rStyle w:val="a"/>
          <w:rFonts w:eastAsia="Palatino Linotype"/>
          <w:color w:val="auto"/>
          <w:szCs w:val="24"/>
        </w:rPr>
      </w:pPr>
      <w:r w:rsidRPr="00E747A2">
        <w:rPr>
          <w:rStyle w:val="a"/>
          <w:rFonts w:eastAsia="Palatino Linotype"/>
          <w:b/>
          <w:bCs/>
          <w:color w:val="auto"/>
          <w:szCs w:val="24"/>
        </w:rPr>
        <w:lastRenderedPageBreak/>
        <w:t xml:space="preserve">Table </w:t>
      </w:r>
      <w:r w:rsidR="00DA79F9" w:rsidRPr="00E747A2">
        <w:rPr>
          <w:rStyle w:val="a"/>
          <w:rFonts w:eastAsia="Palatino Linotype"/>
          <w:b/>
          <w:bCs/>
          <w:color w:val="auto"/>
          <w:szCs w:val="24"/>
        </w:rPr>
        <w:t>5</w:t>
      </w:r>
      <w:r w:rsidRPr="00E747A2">
        <w:rPr>
          <w:rStyle w:val="a"/>
          <w:rFonts w:eastAsia="Palatino Linotype"/>
          <w:b/>
          <w:bCs/>
          <w:color w:val="auto"/>
          <w:szCs w:val="24"/>
        </w:rPr>
        <w:t xml:space="preserve"> </w:t>
      </w:r>
      <w:r w:rsidRPr="006975B4">
        <w:rPr>
          <w:rStyle w:val="a"/>
          <w:rFonts w:eastAsia="Palatino Linotype"/>
          <w:color w:val="auto"/>
          <w:szCs w:val="24"/>
        </w:rPr>
        <w:t>The equivalency of phytase on apparent available phosphorus (%) and true available phosphorus (%) in feedstuffs of plant origin with or without phytase addition for 28-31 day old broiler chickens</w:t>
      </w:r>
      <w:r w:rsidRPr="006975B4">
        <w:rPr>
          <w:rStyle w:val="a"/>
          <w:rFonts w:eastAsia="Palatino Linotype"/>
          <w:color w:val="auto"/>
          <w:szCs w:val="24"/>
          <w:vertAlign w:val="superscript"/>
        </w:rPr>
        <w:t>1</w:t>
      </w:r>
    </w:p>
    <w:tbl>
      <w:tblPr>
        <w:tblStyle w:val="TableNormal2"/>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2420"/>
        <w:gridCol w:w="1440"/>
        <w:gridCol w:w="2790"/>
        <w:gridCol w:w="2958"/>
        <w:gridCol w:w="2173"/>
        <w:gridCol w:w="2646"/>
      </w:tblGrid>
      <w:tr w:rsidR="00257313" w:rsidRPr="00E747A2" w:rsidTr="005B34AC">
        <w:tc>
          <w:tcPr>
            <w:tcW w:w="83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color w:val="auto"/>
                <w:szCs w:val="24"/>
              </w:rPr>
            </w:pPr>
            <w:r w:rsidRPr="00E747A2">
              <w:rPr>
                <w:color w:val="auto"/>
                <w:szCs w:val="24"/>
              </w:rPr>
              <w:t>Ingredient</w:t>
            </w:r>
          </w:p>
        </w:tc>
        <w:tc>
          <w:tcPr>
            <w:tcW w:w="499"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Phytase</w:t>
            </w:r>
            <w:r w:rsidRPr="00E747A2">
              <w:rPr>
                <w:rStyle w:val="a"/>
                <w:rFonts w:eastAsia="Palatino Linotype"/>
                <w:color w:val="auto"/>
                <w:szCs w:val="24"/>
                <w:vertAlign w:val="superscript"/>
              </w:rPr>
              <w:t>2</w:t>
            </w:r>
          </w:p>
        </w:tc>
        <w:tc>
          <w:tcPr>
            <w:tcW w:w="96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b/>
                <w:bCs/>
                <w:color w:val="auto"/>
                <w:szCs w:val="24"/>
                <w:vertAlign w:val="superscript"/>
              </w:rPr>
            </w:pPr>
            <w:r w:rsidRPr="00E747A2">
              <w:rPr>
                <w:rStyle w:val="a"/>
                <w:rFonts w:eastAsia="Palatino Linotype"/>
                <w:color w:val="auto"/>
                <w:szCs w:val="24"/>
              </w:rPr>
              <w:t>Apparent available P</w:t>
            </w:r>
          </w:p>
        </w:tc>
        <w:tc>
          <w:tcPr>
            <w:tcW w:w="1025" w:type="pct"/>
            <w:tcBorders>
              <w:top w:val="single" w:sz="4" w:space="0" w:color="000000"/>
              <w:left w:val="nil"/>
              <w:bottom w:val="single" w:sz="4" w:space="0" w:color="000000"/>
              <w:right w:val="nil"/>
            </w:tcBorders>
            <w:vAlign w:val="center"/>
          </w:tcPr>
          <w:p w:rsidR="00257313" w:rsidRPr="00E747A2" w:rsidRDefault="00257313" w:rsidP="006975B4">
            <w:pPr>
              <w:spacing w:line="360" w:lineRule="auto"/>
              <w:jc w:val="center"/>
              <w:rPr>
                <w:rStyle w:val="a"/>
                <w:rFonts w:eastAsiaTheme="minorEastAsia"/>
                <w:color w:val="auto"/>
                <w:szCs w:val="24"/>
                <w:vertAlign w:val="superscript"/>
              </w:rPr>
            </w:pPr>
            <w:r w:rsidRPr="00E747A2">
              <w:rPr>
                <w:rStyle w:val="a"/>
                <w:rFonts w:eastAsia="Palatino Linotype"/>
                <w:color w:val="auto"/>
                <w:szCs w:val="24"/>
              </w:rPr>
              <w:t>Equivalency of phytase</w:t>
            </w:r>
            <w:r w:rsidRPr="00E747A2">
              <w:rPr>
                <w:rStyle w:val="a"/>
                <w:rFonts w:eastAsia="Palatino Linotype"/>
                <w:color w:val="auto"/>
                <w:szCs w:val="24"/>
                <w:vertAlign w:val="superscript"/>
              </w:rPr>
              <w:t>3</w:t>
            </w:r>
          </w:p>
        </w:tc>
        <w:tc>
          <w:tcPr>
            <w:tcW w:w="75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Style w:val="a"/>
                <w:rFonts w:eastAsia="Palatino Linotype"/>
                <w:b/>
                <w:bCs/>
                <w:color w:val="auto"/>
                <w:szCs w:val="24"/>
              </w:rPr>
            </w:pPr>
            <w:r w:rsidRPr="00E747A2">
              <w:rPr>
                <w:rStyle w:val="a"/>
                <w:rFonts w:eastAsia="Palatino Linotype"/>
                <w:color w:val="auto"/>
                <w:szCs w:val="24"/>
              </w:rPr>
              <w:t>True available P</w:t>
            </w:r>
          </w:p>
        </w:tc>
        <w:tc>
          <w:tcPr>
            <w:tcW w:w="917" w:type="pct"/>
            <w:tcBorders>
              <w:top w:val="single" w:sz="4" w:space="0" w:color="000000"/>
              <w:left w:val="nil"/>
              <w:bottom w:val="single" w:sz="4" w:space="0" w:color="000000"/>
              <w:right w:val="nil"/>
            </w:tcBorders>
            <w:vAlign w:val="center"/>
          </w:tcPr>
          <w:p w:rsidR="00257313" w:rsidRPr="00E747A2" w:rsidRDefault="00257313" w:rsidP="006975B4">
            <w:pPr>
              <w:spacing w:line="360" w:lineRule="auto"/>
              <w:jc w:val="center"/>
              <w:rPr>
                <w:rStyle w:val="a"/>
                <w:rFonts w:eastAsia="Palatino Linotype"/>
                <w:color w:val="auto"/>
                <w:szCs w:val="24"/>
              </w:rPr>
            </w:pPr>
            <w:r w:rsidRPr="00E747A2">
              <w:rPr>
                <w:rStyle w:val="a"/>
                <w:rFonts w:eastAsia="Palatino Linotype"/>
                <w:color w:val="auto"/>
                <w:szCs w:val="24"/>
              </w:rPr>
              <w:t>Equivalency of phytase</w:t>
            </w:r>
          </w:p>
        </w:tc>
      </w:tr>
      <w:tr w:rsidR="00257313" w:rsidRPr="00E747A2" w:rsidTr="005B34AC">
        <w:tc>
          <w:tcPr>
            <w:tcW w:w="839" w:type="pct"/>
            <w:vMerge w:val="restart"/>
            <w:tcBorders>
              <w:top w:val="single" w:sz="4" w:space="0" w:color="000000"/>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Soybean meal</w:t>
            </w:r>
          </w:p>
        </w:tc>
        <w:tc>
          <w:tcPr>
            <w:tcW w:w="49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lang w:eastAsia="zh-CN"/>
              </w:rPr>
            </w:pPr>
            <w:r w:rsidRPr="00E747A2">
              <w:rPr>
                <w:color w:val="auto"/>
                <w:szCs w:val="24"/>
              </w:rPr>
              <w:t>0.29</w:t>
            </w:r>
          </w:p>
        </w:tc>
        <w:tc>
          <w:tcPr>
            <w:tcW w:w="1025" w:type="pct"/>
            <w:tcBorders>
              <w:top w:val="single" w:sz="4" w:space="0" w:color="000000"/>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0.10</w:t>
            </w:r>
          </w:p>
        </w:tc>
        <w:tc>
          <w:tcPr>
            <w:tcW w:w="75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0.32</w:t>
            </w:r>
          </w:p>
        </w:tc>
        <w:tc>
          <w:tcPr>
            <w:tcW w:w="917" w:type="pct"/>
            <w:tcBorders>
              <w:top w:val="single" w:sz="4" w:space="0" w:color="000000"/>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0.10</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rStyle w:val="a"/>
                <w:rFonts w:eastAsia="Palatino Linotype"/>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0.40</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0.42</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Canola meal</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0.51</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0.12</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0.53</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0.12</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rStyle w:val="a"/>
                <w:rFonts w:eastAsia="Palatino Linotype"/>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0.63</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0.66</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rPr>
                <w:color w:val="auto"/>
                <w:szCs w:val="24"/>
              </w:rPr>
            </w:pPr>
            <w:r w:rsidRPr="00E747A2">
              <w:rPr>
                <w:rStyle w:val="a"/>
                <w:rFonts w:eastAsia="Palatino Linotype"/>
                <w:color w:val="auto"/>
                <w:szCs w:val="24"/>
              </w:rPr>
              <w:t>Peanut meal</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0.30</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0.04</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0.33</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0.04</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Palatino Linotype"/>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0.33</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0.36</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Corn DDGS</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0.35</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0.04</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0.37</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0.04</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0.39</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0.41</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Wheat bran</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0.33</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0.13</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0.35</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0.13</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Palatino Linotype"/>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0.46</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0.47</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lastRenderedPageBreak/>
              <w:t>Wheat grain</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0.14</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0.06</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0.16</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0.06</w:t>
            </w:r>
          </w:p>
        </w:tc>
      </w:tr>
      <w:tr w:rsidR="00257313" w:rsidRPr="00E747A2" w:rsidTr="005B34AC">
        <w:tc>
          <w:tcPr>
            <w:tcW w:w="839" w:type="pct"/>
            <w:vMerge/>
            <w:tcBorders>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Palatino Linotype"/>
                <w:color w:val="auto"/>
                <w:szCs w:val="24"/>
              </w:rPr>
            </w:pP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0.21</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0.22</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p>
        </w:tc>
      </w:tr>
      <w:tr w:rsidR="00257313" w:rsidRPr="00E747A2" w:rsidTr="005B34AC">
        <w:tc>
          <w:tcPr>
            <w:tcW w:w="839" w:type="pct"/>
            <w:vMerge w:val="restar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left"/>
              <w:rPr>
                <w:rStyle w:val="a"/>
                <w:rFonts w:eastAsiaTheme="minorEastAsia"/>
                <w:color w:val="auto"/>
                <w:szCs w:val="24"/>
              </w:rPr>
            </w:pPr>
            <w:r w:rsidRPr="00E747A2">
              <w:rPr>
                <w:rStyle w:val="a"/>
                <w:rFonts w:eastAsiaTheme="minorEastAsia"/>
                <w:color w:val="auto"/>
                <w:szCs w:val="24"/>
              </w:rPr>
              <w:t>Wheat middling</w:t>
            </w:r>
          </w:p>
        </w:tc>
        <w:tc>
          <w:tcPr>
            <w:tcW w:w="499"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0.19</w:t>
            </w:r>
          </w:p>
        </w:tc>
        <w:tc>
          <w:tcPr>
            <w:tcW w:w="1025"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0.09</w:t>
            </w:r>
          </w:p>
        </w:tc>
        <w:tc>
          <w:tcPr>
            <w:tcW w:w="753" w:type="pct"/>
            <w:tcBorders>
              <w:top w:val="nil"/>
              <w:left w:val="nil"/>
              <w:bottom w:val="nil"/>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0.21</w:t>
            </w:r>
          </w:p>
        </w:tc>
        <w:tc>
          <w:tcPr>
            <w:tcW w:w="917" w:type="pct"/>
            <w:tcBorders>
              <w:top w:val="nil"/>
              <w:left w:val="nil"/>
              <w:bottom w:val="nil"/>
              <w:right w:val="nil"/>
            </w:tcBorders>
            <w:vAlign w:val="center"/>
          </w:tcPr>
          <w:p w:rsidR="00257313" w:rsidRPr="00E747A2" w:rsidRDefault="00257313" w:rsidP="006975B4">
            <w:pPr>
              <w:spacing w:line="360" w:lineRule="auto"/>
              <w:jc w:val="center"/>
              <w:rPr>
                <w:color w:val="auto"/>
                <w:szCs w:val="24"/>
              </w:rPr>
            </w:pPr>
            <w:r w:rsidRPr="00E747A2">
              <w:rPr>
                <w:color w:val="auto"/>
                <w:szCs w:val="24"/>
              </w:rPr>
              <w:t>0.09</w:t>
            </w:r>
          </w:p>
        </w:tc>
      </w:tr>
      <w:tr w:rsidR="00257313" w:rsidRPr="00E747A2" w:rsidTr="005B34AC">
        <w:tc>
          <w:tcPr>
            <w:tcW w:w="839" w:type="pct"/>
            <w:vMerge/>
            <w:tcBorders>
              <w:left w:val="nil"/>
              <w:bottom w:val="single" w:sz="4" w:space="0" w:color="auto"/>
              <w:right w:val="nil"/>
            </w:tcBorders>
            <w:shd w:val="clear" w:color="auto" w:fill="auto"/>
            <w:tcMar>
              <w:top w:w="80" w:type="dxa"/>
              <w:left w:w="80" w:type="dxa"/>
              <w:bottom w:w="80" w:type="dxa"/>
              <w:right w:w="80" w:type="dxa"/>
            </w:tcMar>
          </w:tcPr>
          <w:p w:rsidR="00257313" w:rsidRPr="00E747A2" w:rsidRDefault="00257313" w:rsidP="006975B4">
            <w:pPr>
              <w:spacing w:line="360" w:lineRule="auto"/>
              <w:rPr>
                <w:rStyle w:val="a"/>
                <w:rFonts w:eastAsia="Palatino Linotype"/>
                <w:color w:val="auto"/>
                <w:szCs w:val="24"/>
              </w:rPr>
            </w:pPr>
          </w:p>
        </w:tc>
        <w:tc>
          <w:tcPr>
            <w:tcW w:w="499"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w:t>
            </w:r>
          </w:p>
        </w:tc>
        <w:tc>
          <w:tcPr>
            <w:tcW w:w="9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color w:val="auto"/>
                <w:szCs w:val="24"/>
              </w:rPr>
            </w:pPr>
            <w:r w:rsidRPr="00E747A2">
              <w:rPr>
                <w:color w:val="auto"/>
                <w:szCs w:val="24"/>
              </w:rPr>
              <w:t>0.28</w:t>
            </w:r>
          </w:p>
        </w:tc>
        <w:tc>
          <w:tcPr>
            <w:tcW w:w="1025" w:type="pct"/>
            <w:tcBorders>
              <w:top w:val="nil"/>
              <w:left w:val="nil"/>
              <w:bottom w:val="single" w:sz="4" w:space="0" w:color="auto"/>
              <w:right w:val="nil"/>
            </w:tcBorders>
            <w:vAlign w:val="center"/>
          </w:tcPr>
          <w:p w:rsidR="00257313" w:rsidRPr="00E747A2" w:rsidRDefault="00257313" w:rsidP="006975B4">
            <w:pPr>
              <w:spacing w:line="360" w:lineRule="auto"/>
              <w:jc w:val="center"/>
              <w:rPr>
                <w:color w:val="auto"/>
                <w:szCs w:val="24"/>
              </w:rPr>
            </w:pPr>
          </w:p>
        </w:tc>
        <w:tc>
          <w:tcPr>
            <w:tcW w:w="753" w:type="pct"/>
            <w:tcBorders>
              <w:top w:val="nil"/>
              <w:left w:val="nil"/>
              <w:bottom w:val="single" w:sz="4" w:space="0" w:color="auto"/>
              <w:right w:val="nil"/>
            </w:tcBorders>
            <w:shd w:val="clear" w:color="auto" w:fill="auto"/>
            <w:tcMar>
              <w:top w:w="80" w:type="dxa"/>
              <w:left w:w="80" w:type="dxa"/>
              <w:bottom w:w="80" w:type="dxa"/>
              <w:right w:w="80" w:type="dxa"/>
            </w:tcMar>
            <w:vAlign w:val="center"/>
          </w:tcPr>
          <w:p w:rsidR="00257313" w:rsidRPr="00E747A2" w:rsidRDefault="00257313" w:rsidP="006975B4">
            <w:pPr>
              <w:spacing w:line="360" w:lineRule="auto"/>
              <w:jc w:val="center"/>
              <w:rPr>
                <w:rFonts w:eastAsia="SimSun"/>
                <w:color w:val="auto"/>
                <w:szCs w:val="24"/>
              </w:rPr>
            </w:pPr>
            <w:r w:rsidRPr="00E747A2">
              <w:rPr>
                <w:color w:val="auto"/>
                <w:szCs w:val="24"/>
              </w:rPr>
              <w:t>0.29</w:t>
            </w:r>
          </w:p>
        </w:tc>
        <w:tc>
          <w:tcPr>
            <w:tcW w:w="917" w:type="pct"/>
            <w:tcBorders>
              <w:top w:val="nil"/>
              <w:left w:val="nil"/>
              <w:bottom w:val="single" w:sz="4" w:space="0" w:color="auto"/>
              <w:right w:val="nil"/>
            </w:tcBorders>
            <w:vAlign w:val="center"/>
          </w:tcPr>
          <w:p w:rsidR="00257313" w:rsidRPr="00E747A2" w:rsidRDefault="00257313" w:rsidP="006975B4">
            <w:pPr>
              <w:spacing w:line="360" w:lineRule="auto"/>
              <w:jc w:val="center"/>
              <w:rPr>
                <w:color w:val="auto"/>
                <w:szCs w:val="24"/>
              </w:rPr>
            </w:pPr>
          </w:p>
        </w:tc>
      </w:tr>
    </w:tbl>
    <w:p w:rsidR="00257313" w:rsidRPr="00E747A2" w:rsidRDefault="00257313" w:rsidP="00BE2D61">
      <w:pPr>
        <w:spacing w:line="480" w:lineRule="auto"/>
        <w:rPr>
          <w:rStyle w:val="a"/>
          <w:rFonts w:eastAsia="Palatino Linotype"/>
          <w:color w:val="auto"/>
          <w:szCs w:val="24"/>
        </w:rPr>
      </w:pPr>
      <w:r w:rsidRPr="00E747A2">
        <w:rPr>
          <w:rStyle w:val="a"/>
          <w:rFonts w:eastAsia="Palatino Linotype"/>
          <w:color w:val="auto"/>
          <w:szCs w:val="24"/>
          <w:vertAlign w:val="superscript"/>
        </w:rPr>
        <w:t>1)</w:t>
      </w:r>
      <w:r w:rsidRPr="00E747A2">
        <w:rPr>
          <w:rStyle w:val="a"/>
          <w:rFonts w:eastAsia="Palatino Linotype"/>
          <w:color w:val="auto"/>
          <w:szCs w:val="24"/>
        </w:rPr>
        <w:t xml:space="preserve"> Available P is calculated by availability and total P in ingredients.</w:t>
      </w:r>
    </w:p>
    <w:p w:rsidR="00257313" w:rsidRPr="00E747A2" w:rsidRDefault="00257313" w:rsidP="00BE2D61">
      <w:pPr>
        <w:spacing w:line="480" w:lineRule="auto"/>
        <w:ind w:left="180" w:hanging="180"/>
        <w:rPr>
          <w:rStyle w:val="a"/>
          <w:rFonts w:eastAsia="Palatino Linotype"/>
          <w:color w:val="auto"/>
          <w:szCs w:val="24"/>
        </w:rPr>
      </w:pPr>
      <w:r w:rsidRPr="00E747A2">
        <w:rPr>
          <w:rStyle w:val="a"/>
          <w:rFonts w:eastAsia="Palatino Linotype"/>
          <w:color w:val="auto"/>
          <w:szCs w:val="24"/>
          <w:vertAlign w:val="superscript"/>
        </w:rPr>
        <w:t>2)</w:t>
      </w:r>
      <w:r w:rsidRPr="00E747A2">
        <w:rPr>
          <w:rStyle w:val="a"/>
          <w:rFonts w:eastAsia="Palatino Linotype"/>
          <w:color w:val="auto"/>
          <w:szCs w:val="24"/>
        </w:rPr>
        <w:t xml:space="preserve"> Microbial phytase was added in the diets containing phytase at 1000U/kg complete feed (-, no phytase; +, with 1000U/kg microbial phytase)</w:t>
      </w:r>
    </w:p>
    <w:p w:rsidR="00257313" w:rsidRPr="00E747A2" w:rsidRDefault="00257313" w:rsidP="00BE2D61">
      <w:pPr>
        <w:spacing w:line="480" w:lineRule="auto"/>
        <w:ind w:left="180" w:hanging="180"/>
        <w:rPr>
          <w:rStyle w:val="a"/>
          <w:rFonts w:eastAsia="Palatino Linotype"/>
          <w:color w:val="auto"/>
          <w:szCs w:val="24"/>
        </w:rPr>
      </w:pPr>
      <w:r w:rsidRPr="00E747A2">
        <w:rPr>
          <w:rStyle w:val="a"/>
          <w:rFonts w:eastAsia="Palatino Linotype"/>
          <w:color w:val="auto"/>
          <w:szCs w:val="24"/>
          <w:vertAlign w:val="superscript"/>
        </w:rPr>
        <w:t xml:space="preserve">3) </w:t>
      </w:r>
      <w:r w:rsidRPr="00E747A2">
        <w:rPr>
          <w:rStyle w:val="a"/>
          <w:rFonts w:eastAsia="Palatino Linotype"/>
          <w:color w:val="auto"/>
          <w:szCs w:val="24"/>
        </w:rPr>
        <w:t xml:space="preserve">Equivalency of phytase shows </w:t>
      </w:r>
      <w:r w:rsidR="009E5CA9" w:rsidRPr="00E747A2">
        <w:rPr>
          <w:rStyle w:val="a"/>
          <w:rFonts w:eastAsia="Palatino Linotype"/>
          <w:color w:val="auto"/>
          <w:szCs w:val="24"/>
        </w:rPr>
        <w:t xml:space="preserve">an </w:t>
      </w:r>
      <w:r w:rsidRPr="00E747A2">
        <w:rPr>
          <w:rStyle w:val="a"/>
          <w:rFonts w:eastAsia="Palatino Linotype"/>
          <w:color w:val="auto"/>
          <w:szCs w:val="24"/>
        </w:rPr>
        <w:t>increase of available P on</w:t>
      </w:r>
      <w:r w:rsidR="009E5CA9" w:rsidRPr="00E747A2">
        <w:rPr>
          <w:rStyle w:val="a"/>
          <w:rFonts w:eastAsia="Palatino Linotype"/>
          <w:color w:val="auto"/>
          <w:szCs w:val="24"/>
        </w:rPr>
        <w:t xml:space="preserve"> the</w:t>
      </w:r>
      <w:r w:rsidRPr="00E747A2">
        <w:rPr>
          <w:rStyle w:val="a"/>
          <w:rFonts w:eastAsia="Palatino Linotype"/>
          <w:color w:val="auto"/>
          <w:szCs w:val="24"/>
        </w:rPr>
        <w:t xml:space="preserve"> account of 1000 FTU/kg phytase addition.</w:t>
      </w:r>
    </w:p>
    <w:p w:rsidR="00E92783" w:rsidRPr="00E747A2" w:rsidRDefault="00E92783" w:rsidP="00BE2D61">
      <w:pPr>
        <w:pStyle w:val="MDPI71References"/>
        <w:numPr>
          <w:ilvl w:val="0"/>
          <w:numId w:val="0"/>
        </w:numPr>
        <w:spacing w:line="480" w:lineRule="auto"/>
        <w:rPr>
          <w:rFonts w:ascii="Times New Roman" w:eastAsia="SimSun" w:hAnsi="Times New Roman"/>
          <w:color w:val="auto"/>
          <w:sz w:val="24"/>
          <w:szCs w:val="24"/>
        </w:rPr>
      </w:pPr>
    </w:p>
    <w:sectPr w:rsidR="00E92783" w:rsidRPr="00E747A2" w:rsidSect="00D12FBD">
      <w:pgSz w:w="16838" w:h="11906" w:orient="landscape" w:code="9"/>
      <w:pgMar w:top="1526" w:right="1411" w:bottom="1526" w:left="1080" w:header="1022" w:footer="850" w:gutter="0"/>
      <w:lnNumType w:countBy="1" w:restart="continuous"/>
      <w:pgNumType w:start="20"/>
      <w:cols w:space="425"/>
      <w:titlePg/>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37" w:rsidRDefault="00E94937">
      <w:pPr>
        <w:spacing w:line="240" w:lineRule="auto"/>
      </w:pPr>
      <w:r>
        <w:separator/>
      </w:r>
    </w:p>
  </w:endnote>
  <w:endnote w:type="continuationSeparator" w:id="1">
    <w:p w:rsidR="00E94937" w:rsidRDefault="00E949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25" w:rsidRPr="008B308E" w:rsidRDefault="002C3725" w:rsidP="009521C8">
    <w:pPr>
      <w:pStyle w:val="MDPIfooterfirstpage"/>
      <w:spacing w:line="240" w:lineRule="auto"/>
      <w:jc w:val="both"/>
      <w:rPr>
        <w:lang w:val="fr-CH"/>
      </w:rPr>
    </w:pPr>
    <w:r w:rsidRPr="008B308E">
      <w:rPr>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37" w:rsidRDefault="00E94937">
      <w:pPr>
        <w:spacing w:line="240" w:lineRule="auto"/>
      </w:pPr>
      <w:r>
        <w:separator/>
      </w:r>
    </w:p>
  </w:footnote>
  <w:footnote w:type="continuationSeparator" w:id="1">
    <w:p w:rsidR="00E94937" w:rsidRDefault="00E949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25" w:rsidRDefault="002C3725" w:rsidP="00A10BF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25" w:rsidRPr="00FA19F5" w:rsidRDefault="002C3725" w:rsidP="0035782F">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382493">
      <w:rPr>
        <w:rFonts w:ascii="Palatino Linotype" w:hAnsi="Palatino Linotype"/>
        <w:sz w:val="16"/>
      </w:rPr>
      <w:fldChar w:fldCharType="begin"/>
    </w:r>
    <w:r>
      <w:rPr>
        <w:rFonts w:ascii="Palatino Linotype" w:hAnsi="Palatino Linotype"/>
        <w:sz w:val="16"/>
      </w:rPr>
      <w:instrText xml:space="preserve"> PAGE   \* MERGEFORMAT </w:instrText>
    </w:r>
    <w:r w:rsidR="00382493">
      <w:rPr>
        <w:rFonts w:ascii="Palatino Linotype" w:hAnsi="Palatino Linotype"/>
        <w:sz w:val="16"/>
      </w:rPr>
      <w:fldChar w:fldCharType="separate"/>
    </w:r>
    <w:r w:rsidR="009E0E6B">
      <w:rPr>
        <w:rFonts w:ascii="Palatino Linotype" w:hAnsi="Palatino Linotype"/>
        <w:noProof/>
        <w:sz w:val="16"/>
      </w:rPr>
      <w:t>14</w:t>
    </w:r>
    <w:r w:rsidR="00382493">
      <w:rPr>
        <w:rFonts w:ascii="Palatino Linotype" w:hAnsi="Palatino Linotype"/>
        <w:sz w:val="16"/>
      </w:rPr>
      <w:fldChar w:fldCharType="end"/>
    </w:r>
    <w:r>
      <w:rPr>
        <w:rFonts w:ascii="Palatino Linotype" w:hAnsi="Palatino Linotype"/>
        <w:sz w:val="16"/>
      </w:rPr>
      <w:t xml:space="preserve"> of </w:t>
    </w:r>
    <w:fldSimple w:instr=" NUMPAGES   \* MERGEFORMAT ">
      <w:r w:rsidR="009E0E6B" w:rsidRPr="009E0E6B">
        <w:rPr>
          <w:rFonts w:ascii="Palatino Linotype" w:hAnsi="Palatino Linotype"/>
          <w:noProof/>
          <w:sz w:val="16"/>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8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17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034FB2"/>
    <w:multiLevelType w:val="hybridMultilevel"/>
    <w:tmpl w:val="20DCE7A4"/>
    <w:lvl w:ilvl="0" w:tplc="1618108C">
      <w:start w:val="1"/>
      <w:numFmt w:val="decimal"/>
      <w:lvlText w:val="%1"/>
      <w:lvlJc w:val="left"/>
      <w:pPr>
        <w:ind w:left="473" w:hanging="360"/>
      </w:pPr>
      <w:rPr>
        <w:rFonts w:hint="default"/>
        <w:vertAlign w:val="superscrip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219454DB"/>
    <w:multiLevelType w:val="multilevel"/>
    <w:tmpl w:val="33441A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2AF81D1A"/>
    <w:multiLevelType w:val="hybridMultilevel"/>
    <w:tmpl w:val="20583FF0"/>
    <w:lvl w:ilvl="0" w:tplc="E5906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0C6448"/>
    <w:multiLevelType w:val="multilevel"/>
    <w:tmpl w:val="64AED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BB50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nsid w:val="39291A1A"/>
    <w:multiLevelType w:val="hybridMultilevel"/>
    <w:tmpl w:val="20DC0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3126E"/>
    <w:multiLevelType w:val="multilevel"/>
    <w:tmpl w:val="0C881528"/>
    <w:styleLink w:val="1"/>
    <w:lvl w:ilvl="0">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0" w:hanging="450"/>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810" w:hanging="81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10" w:hanging="810"/>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70" w:hanging="1170"/>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170" w:hanging="1170"/>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30" w:hanging="1530"/>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530" w:hanging="1530"/>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90" w:hanging="1890"/>
      </w:pPr>
      <w:rPr>
        <w:rFonts w:hAnsi="Arial Unicode MS"/>
        <w:i/>
        <w:iCs/>
        <w:caps w:val="0"/>
        <w:smallCaps w:val="0"/>
        <w:strike w:val="0"/>
        <w:dstrike w:val="0"/>
        <w:color w:val="000000"/>
        <w:spacing w:val="0"/>
        <w:w w:val="100"/>
        <w:kern w:val="0"/>
        <w:position w:val="0"/>
        <w:highlight w:val="none"/>
        <w:vertAlign w:val="baseline"/>
      </w:rPr>
    </w:lvl>
  </w:abstractNum>
  <w:abstractNum w:abstractNumId="13">
    <w:nsid w:val="3C6817B5"/>
    <w:multiLevelType w:val="hybridMultilevel"/>
    <w:tmpl w:val="3E34C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22E9F"/>
    <w:multiLevelType w:val="multilevel"/>
    <w:tmpl w:val="A57E57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9D3256"/>
    <w:multiLevelType w:val="hybridMultilevel"/>
    <w:tmpl w:val="7034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329C7"/>
    <w:multiLevelType w:val="hybridMultilevel"/>
    <w:tmpl w:val="E04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4600D"/>
    <w:multiLevelType w:val="multilevel"/>
    <w:tmpl w:val="0C881528"/>
    <w:numStyleLink w:val="1"/>
  </w:abstractNum>
  <w:abstractNum w:abstractNumId="18">
    <w:nsid w:val="71BE476A"/>
    <w:multiLevelType w:val="hybridMultilevel"/>
    <w:tmpl w:val="0310F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74E0F"/>
    <w:multiLevelType w:val="hybridMultilevel"/>
    <w:tmpl w:val="699C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22439"/>
    <w:multiLevelType w:val="multilevel"/>
    <w:tmpl w:val="47948E4E"/>
    <w:lvl w:ilvl="0">
      <w:start w:val="1"/>
      <w:numFmt w:val="decimal"/>
      <w:lvlText w:val="%1"/>
      <w:lvlJc w:val="left"/>
      <w:pPr>
        <w:ind w:left="720" w:hanging="360"/>
      </w:pPr>
      <w:rPr>
        <w:rFonts w:hint="default"/>
        <w:b/>
        <w:bCs/>
        <w:sz w:val="22"/>
        <w:vertAlign w:val="superscrip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9010089"/>
    <w:multiLevelType w:val="multilevel"/>
    <w:tmpl w:val="71AEBE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172336"/>
    <w:multiLevelType w:val="hybridMultilevel"/>
    <w:tmpl w:val="C6E84DD4"/>
    <w:lvl w:ilvl="0" w:tplc="2F00650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22"/>
  </w:num>
  <w:num w:numId="6">
    <w:abstractNumId w:val="20"/>
  </w:num>
  <w:num w:numId="7">
    <w:abstractNumId w:val="16"/>
  </w:num>
  <w:num w:numId="8">
    <w:abstractNumId w:val="8"/>
  </w:num>
  <w:num w:numId="9">
    <w:abstractNumId w:val="19"/>
  </w:num>
  <w:num w:numId="10">
    <w:abstractNumId w:val="1"/>
  </w:num>
  <w:num w:numId="11">
    <w:abstractNumId w:val="12"/>
  </w:num>
  <w:num w:numId="12">
    <w:abstractNumId w:val="17"/>
  </w:num>
  <w:num w:numId="13">
    <w:abstractNumId w:val="17"/>
    <w:lvlOverride w:ilvl="0"/>
    <w:lvlOverride w:ilvl="1">
      <w:startOverride w:val="2"/>
    </w:lvlOverride>
  </w:num>
  <w:num w:numId="14">
    <w:abstractNumId w:val="17"/>
    <w:lvlOverride w:ilvl="0"/>
    <w:lvlOverride w:ilvl="1">
      <w:startOverride w:val="5"/>
    </w:lvlOverride>
  </w:num>
  <w:num w:numId="15">
    <w:abstractNumId w:val="17"/>
    <w:lvlOverride w:ilvl="0">
      <w:startOverride w:val="3"/>
    </w:lvlOverride>
  </w:num>
  <w:num w:numId="16">
    <w:abstractNumId w:val="14"/>
  </w:num>
  <w:num w:numId="17">
    <w:abstractNumId w:val="0"/>
  </w:num>
  <w:num w:numId="18">
    <w:abstractNumId w:val="7"/>
  </w:num>
  <w:num w:numId="19">
    <w:abstractNumId w:val="2"/>
  </w:num>
  <w:num w:numId="20">
    <w:abstractNumId w:val="15"/>
  </w:num>
  <w:num w:numId="21">
    <w:abstractNumId w:val="18"/>
  </w:num>
  <w:num w:numId="22">
    <w:abstractNumId w:val="11"/>
  </w:num>
  <w:num w:numId="23">
    <w:abstractNumId w:val="13"/>
  </w:num>
  <w:num w:numId="24">
    <w:abstractNumId w:val="3"/>
  </w:num>
  <w:num w:numId="25">
    <w:abstractNumId w:val="22"/>
  </w:num>
  <w:num w:numId="26">
    <w:abstractNumId w:val="22"/>
  </w:num>
  <w:num w:numId="27">
    <w:abstractNumId w:val="22"/>
  </w:num>
  <w:num w:numId="28">
    <w:abstractNumId w:val="22"/>
  </w:num>
  <w:num w:numId="29">
    <w:abstractNumId w:val="22"/>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584407"/>
    <w:rsid w:val="000002E5"/>
    <w:rsid w:val="0000031D"/>
    <w:rsid w:val="00000850"/>
    <w:rsid w:val="000011D7"/>
    <w:rsid w:val="00001414"/>
    <w:rsid w:val="00001445"/>
    <w:rsid w:val="00002984"/>
    <w:rsid w:val="000050FF"/>
    <w:rsid w:val="000051C2"/>
    <w:rsid w:val="0000580E"/>
    <w:rsid w:val="00005AF4"/>
    <w:rsid w:val="0001526F"/>
    <w:rsid w:val="000226E7"/>
    <w:rsid w:val="00023BD4"/>
    <w:rsid w:val="00026DCB"/>
    <w:rsid w:val="0002701B"/>
    <w:rsid w:val="000305DB"/>
    <w:rsid w:val="00030813"/>
    <w:rsid w:val="00031CB1"/>
    <w:rsid w:val="000323E7"/>
    <w:rsid w:val="00033DB7"/>
    <w:rsid w:val="0003570B"/>
    <w:rsid w:val="00042167"/>
    <w:rsid w:val="0004616C"/>
    <w:rsid w:val="000479EE"/>
    <w:rsid w:val="00054C2A"/>
    <w:rsid w:val="000550E3"/>
    <w:rsid w:val="000578DC"/>
    <w:rsid w:val="00062BCE"/>
    <w:rsid w:val="00064BC9"/>
    <w:rsid w:val="00065C2F"/>
    <w:rsid w:val="00066541"/>
    <w:rsid w:val="00067080"/>
    <w:rsid w:val="00067914"/>
    <w:rsid w:val="00067C1E"/>
    <w:rsid w:val="000705D0"/>
    <w:rsid w:val="00074655"/>
    <w:rsid w:val="0008089E"/>
    <w:rsid w:val="0008275A"/>
    <w:rsid w:val="000877D7"/>
    <w:rsid w:val="00091C3C"/>
    <w:rsid w:val="00092A7F"/>
    <w:rsid w:val="00092DD9"/>
    <w:rsid w:val="000934D7"/>
    <w:rsid w:val="00094181"/>
    <w:rsid w:val="00096157"/>
    <w:rsid w:val="00096BDC"/>
    <w:rsid w:val="000971F4"/>
    <w:rsid w:val="000A0585"/>
    <w:rsid w:val="000A0D57"/>
    <w:rsid w:val="000A37F2"/>
    <w:rsid w:val="000A68A1"/>
    <w:rsid w:val="000A6BB2"/>
    <w:rsid w:val="000B06F7"/>
    <w:rsid w:val="000B0E4C"/>
    <w:rsid w:val="000B15B6"/>
    <w:rsid w:val="000B2E9C"/>
    <w:rsid w:val="000B6080"/>
    <w:rsid w:val="000B6BC7"/>
    <w:rsid w:val="000B727F"/>
    <w:rsid w:val="000B7713"/>
    <w:rsid w:val="000C18FF"/>
    <w:rsid w:val="000C2F1D"/>
    <w:rsid w:val="000C5804"/>
    <w:rsid w:val="000C7587"/>
    <w:rsid w:val="000D1317"/>
    <w:rsid w:val="000D287B"/>
    <w:rsid w:val="000D2AD8"/>
    <w:rsid w:val="000D354C"/>
    <w:rsid w:val="000D427B"/>
    <w:rsid w:val="000D4526"/>
    <w:rsid w:val="000D47C9"/>
    <w:rsid w:val="000D5ECB"/>
    <w:rsid w:val="000E0961"/>
    <w:rsid w:val="000E1099"/>
    <w:rsid w:val="000E269A"/>
    <w:rsid w:val="000E696E"/>
    <w:rsid w:val="000E7EB7"/>
    <w:rsid w:val="000F1F8C"/>
    <w:rsid w:val="000F350B"/>
    <w:rsid w:val="000F500E"/>
    <w:rsid w:val="000F514F"/>
    <w:rsid w:val="000F657C"/>
    <w:rsid w:val="000F7048"/>
    <w:rsid w:val="000F72E5"/>
    <w:rsid w:val="00100945"/>
    <w:rsid w:val="0010310A"/>
    <w:rsid w:val="00103CC8"/>
    <w:rsid w:val="00104D52"/>
    <w:rsid w:val="001059AC"/>
    <w:rsid w:val="00106624"/>
    <w:rsid w:val="001066B0"/>
    <w:rsid w:val="001122A4"/>
    <w:rsid w:val="0011677E"/>
    <w:rsid w:val="0011697F"/>
    <w:rsid w:val="00116A52"/>
    <w:rsid w:val="001204D5"/>
    <w:rsid w:val="001218D7"/>
    <w:rsid w:val="001249C6"/>
    <w:rsid w:val="00126894"/>
    <w:rsid w:val="001302EB"/>
    <w:rsid w:val="00130DBA"/>
    <w:rsid w:val="00131944"/>
    <w:rsid w:val="00131A30"/>
    <w:rsid w:val="001327F2"/>
    <w:rsid w:val="001338B9"/>
    <w:rsid w:val="00133D56"/>
    <w:rsid w:val="0013478B"/>
    <w:rsid w:val="00140D7B"/>
    <w:rsid w:val="00141A20"/>
    <w:rsid w:val="00142266"/>
    <w:rsid w:val="00142FAC"/>
    <w:rsid w:val="0014435B"/>
    <w:rsid w:val="00144D15"/>
    <w:rsid w:val="0014509F"/>
    <w:rsid w:val="0014766F"/>
    <w:rsid w:val="00147E73"/>
    <w:rsid w:val="00150487"/>
    <w:rsid w:val="00150D04"/>
    <w:rsid w:val="00153BB0"/>
    <w:rsid w:val="00154085"/>
    <w:rsid w:val="00154A45"/>
    <w:rsid w:val="00156F05"/>
    <w:rsid w:val="0015714D"/>
    <w:rsid w:val="00161967"/>
    <w:rsid w:val="0016279C"/>
    <w:rsid w:val="001648FB"/>
    <w:rsid w:val="0016565E"/>
    <w:rsid w:val="00167CBC"/>
    <w:rsid w:val="0017021F"/>
    <w:rsid w:val="001703ED"/>
    <w:rsid w:val="001703FE"/>
    <w:rsid w:val="00170447"/>
    <w:rsid w:val="00176CF8"/>
    <w:rsid w:val="00180350"/>
    <w:rsid w:val="001809E4"/>
    <w:rsid w:val="001815FF"/>
    <w:rsid w:val="00182A94"/>
    <w:rsid w:val="00183879"/>
    <w:rsid w:val="00184068"/>
    <w:rsid w:val="00185340"/>
    <w:rsid w:val="00185FC7"/>
    <w:rsid w:val="00187672"/>
    <w:rsid w:val="00192312"/>
    <w:rsid w:val="00195B65"/>
    <w:rsid w:val="001A1622"/>
    <w:rsid w:val="001A1CF5"/>
    <w:rsid w:val="001A3FD9"/>
    <w:rsid w:val="001B0260"/>
    <w:rsid w:val="001B423F"/>
    <w:rsid w:val="001B7355"/>
    <w:rsid w:val="001C0488"/>
    <w:rsid w:val="001C1BBC"/>
    <w:rsid w:val="001C261C"/>
    <w:rsid w:val="001C6B9C"/>
    <w:rsid w:val="001D06DF"/>
    <w:rsid w:val="001D1B88"/>
    <w:rsid w:val="001D2EB4"/>
    <w:rsid w:val="001D37B8"/>
    <w:rsid w:val="001D3BAB"/>
    <w:rsid w:val="001D3EF6"/>
    <w:rsid w:val="001E0132"/>
    <w:rsid w:val="001E0D28"/>
    <w:rsid w:val="001E2AEB"/>
    <w:rsid w:val="001E31CF"/>
    <w:rsid w:val="001F0948"/>
    <w:rsid w:val="001F50D0"/>
    <w:rsid w:val="001F6532"/>
    <w:rsid w:val="001F7696"/>
    <w:rsid w:val="0020017E"/>
    <w:rsid w:val="00202574"/>
    <w:rsid w:val="0020450B"/>
    <w:rsid w:val="0020474B"/>
    <w:rsid w:val="00204E37"/>
    <w:rsid w:val="0020518A"/>
    <w:rsid w:val="00207D84"/>
    <w:rsid w:val="00210A96"/>
    <w:rsid w:val="0021122D"/>
    <w:rsid w:val="00211654"/>
    <w:rsid w:val="00215350"/>
    <w:rsid w:val="00215D34"/>
    <w:rsid w:val="00220EC4"/>
    <w:rsid w:val="0022296D"/>
    <w:rsid w:val="00224ADC"/>
    <w:rsid w:val="00224B48"/>
    <w:rsid w:val="002253EB"/>
    <w:rsid w:val="00227673"/>
    <w:rsid w:val="00230620"/>
    <w:rsid w:val="00230D8F"/>
    <w:rsid w:val="002314CD"/>
    <w:rsid w:val="002317F8"/>
    <w:rsid w:val="00232D04"/>
    <w:rsid w:val="00233922"/>
    <w:rsid w:val="00235A4B"/>
    <w:rsid w:val="00236243"/>
    <w:rsid w:val="002375CC"/>
    <w:rsid w:val="002404CF"/>
    <w:rsid w:val="002412A4"/>
    <w:rsid w:val="00242B3D"/>
    <w:rsid w:val="00244A8A"/>
    <w:rsid w:val="00244F14"/>
    <w:rsid w:val="00246AE8"/>
    <w:rsid w:val="00247092"/>
    <w:rsid w:val="00250706"/>
    <w:rsid w:val="00251F7E"/>
    <w:rsid w:val="00252880"/>
    <w:rsid w:val="002533FA"/>
    <w:rsid w:val="00254F86"/>
    <w:rsid w:val="00255CC4"/>
    <w:rsid w:val="00256C70"/>
    <w:rsid w:val="00257313"/>
    <w:rsid w:val="0026055E"/>
    <w:rsid w:val="0026214F"/>
    <w:rsid w:val="00264CC0"/>
    <w:rsid w:val="00266F26"/>
    <w:rsid w:val="00267A9B"/>
    <w:rsid w:val="00271193"/>
    <w:rsid w:val="002737C6"/>
    <w:rsid w:val="00273AC9"/>
    <w:rsid w:val="00275AA8"/>
    <w:rsid w:val="00276ED5"/>
    <w:rsid w:val="002803DB"/>
    <w:rsid w:val="00283913"/>
    <w:rsid w:val="0028464D"/>
    <w:rsid w:val="00290DB5"/>
    <w:rsid w:val="00292DD5"/>
    <w:rsid w:val="00293B0C"/>
    <w:rsid w:val="002A00F7"/>
    <w:rsid w:val="002A043A"/>
    <w:rsid w:val="002A2F3A"/>
    <w:rsid w:val="002A66DF"/>
    <w:rsid w:val="002A6964"/>
    <w:rsid w:val="002B63AF"/>
    <w:rsid w:val="002C193D"/>
    <w:rsid w:val="002C3136"/>
    <w:rsid w:val="002C3725"/>
    <w:rsid w:val="002C3C91"/>
    <w:rsid w:val="002C57A6"/>
    <w:rsid w:val="002D015F"/>
    <w:rsid w:val="002D032C"/>
    <w:rsid w:val="002D5679"/>
    <w:rsid w:val="002D6A4C"/>
    <w:rsid w:val="002D6D67"/>
    <w:rsid w:val="002E2E82"/>
    <w:rsid w:val="002E5096"/>
    <w:rsid w:val="002F04F4"/>
    <w:rsid w:val="002F32AB"/>
    <w:rsid w:val="002F394D"/>
    <w:rsid w:val="002F5F85"/>
    <w:rsid w:val="002F6F14"/>
    <w:rsid w:val="00300BD3"/>
    <w:rsid w:val="003021D0"/>
    <w:rsid w:val="003042DE"/>
    <w:rsid w:val="00307AA8"/>
    <w:rsid w:val="00311D9E"/>
    <w:rsid w:val="003122A4"/>
    <w:rsid w:val="00320FF5"/>
    <w:rsid w:val="0032135F"/>
    <w:rsid w:val="00326141"/>
    <w:rsid w:val="00326DB6"/>
    <w:rsid w:val="00330844"/>
    <w:rsid w:val="00333C89"/>
    <w:rsid w:val="00335DF2"/>
    <w:rsid w:val="0033767E"/>
    <w:rsid w:val="0034370A"/>
    <w:rsid w:val="0034732C"/>
    <w:rsid w:val="003509D9"/>
    <w:rsid w:val="00353636"/>
    <w:rsid w:val="00353D71"/>
    <w:rsid w:val="00354315"/>
    <w:rsid w:val="00354E6F"/>
    <w:rsid w:val="00355C7C"/>
    <w:rsid w:val="0035782F"/>
    <w:rsid w:val="0036522F"/>
    <w:rsid w:val="00367304"/>
    <w:rsid w:val="00367D9C"/>
    <w:rsid w:val="00370FD2"/>
    <w:rsid w:val="003719A6"/>
    <w:rsid w:val="0037473D"/>
    <w:rsid w:val="003748AA"/>
    <w:rsid w:val="00375221"/>
    <w:rsid w:val="00376114"/>
    <w:rsid w:val="0037661D"/>
    <w:rsid w:val="0037798C"/>
    <w:rsid w:val="00381187"/>
    <w:rsid w:val="003811D3"/>
    <w:rsid w:val="00381652"/>
    <w:rsid w:val="00381F98"/>
    <w:rsid w:val="00382493"/>
    <w:rsid w:val="003846B5"/>
    <w:rsid w:val="00387A97"/>
    <w:rsid w:val="00393017"/>
    <w:rsid w:val="003939E9"/>
    <w:rsid w:val="00393CE0"/>
    <w:rsid w:val="0039411E"/>
    <w:rsid w:val="00396104"/>
    <w:rsid w:val="003964E8"/>
    <w:rsid w:val="00397867"/>
    <w:rsid w:val="003A3608"/>
    <w:rsid w:val="003A4AA2"/>
    <w:rsid w:val="003B1C74"/>
    <w:rsid w:val="003B25DF"/>
    <w:rsid w:val="003B2ABF"/>
    <w:rsid w:val="003B41F6"/>
    <w:rsid w:val="003B5D01"/>
    <w:rsid w:val="003B5D05"/>
    <w:rsid w:val="003C13AF"/>
    <w:rsid w:val="003C2A60"/>
    <w:rsid w:val="003C2BE0"/>
    <w:rsid w:val="003C2EAF"/>
    <w:rsid w:val="003C2F72"/>
    <w:rsid w:val="003C3272"/>
    <w:rsid w:val="003C4010"/>
    <w:rsid w:val="003C4747"/>
    <w:rsid w:val="003C4BA8"/>
    <w:rsid w:val="003C5265"/>
    <w:rsid w:val="003C6F1C"/>
    <w:rsid w:val="003C726A"/>
    <w:rsid w:val="003D09C8"/>
    <w:rsid w:val="003D1AC7"/>
    <w:rsid w:val="003D412F"/>
    <w:rsid w:val="003D5282"/>
    <w:rsid w:val="003D7ABF"/>
    <w:rsid w:val="003D7D8F"/>
    <w:rsid w:val="003E1A5A"/>
    <w:rsid w:val="003E24BF"/>
    <w:rsid w:val="003E35D9"/>
    <w:rsid w:val="003E3AA9"/>
    <w:rsid w:val="003E46DF"/>
    <w:rsid w:val="003E499B"/>
    <w:rsid w:val="003F0C5D"/>
    <w:rsid w:val="003F1FEB"/>
    <w:rsid w:val="003F2975"/>
    <w:rsid w:val="0040065E"/>
    <w:rsid w:val="00401A58"/>
    <w:rsid w:val="00401D30"/>
    <w:rsid w:val="004027E0"/>
    <w:rsid w:val="00403E25"/>
    <w:rsid w:val="00404837"/>
    <w:rsid w:val="004051D9"/>
    <w:rsid w:val="00405F9C"/>
    <w:rsid w:val="00406990"/>
    <w:rsid w:val="0040789E"/>
    <w:rsid w:val="00413424"/>
    <w:rsid w:val="0041353B"/>
    <w:rsid w:val="00413564"/>
    <w:rsid w:val="004138A4"/>
    <w:rsid w:val="0041559D"/>
    <w:rsid w:val="00420252"/>
    <w:rsid w:val="00421955"/>
    <w:rsid w:val="0042329B"/>
    <w:rsid w:val="004232D8"/>
    <w:rsid w:val="004254F4"/>
    <w:rsid w:val="004305E2"/>
    <w:rsid w:val="0043130C"/>
    <w:rsid w:val="00431C59"/>
    <w:rsid w:val="004344C1"/>
    <w:rsid w:val="00435683"/>
    <w:rsid w:val="004363F1"/>
    <w:rsid w:val="00441967"/>
    <w:rsid w:val="00443334"/>
    <w:rsid w:val="00443C59"/>
    <w:rsid w:val="004505C5"/>
    <w:rsid w:val="00451B59"/>
    <w:rsid w:val="004522D2"/>
    <w:rsid w:val="00453671"/>
    <w:rsid w:val="00454A35"/>
    <w:rsid w:val="004560B0"/>
    <w:rsid w:val="00457BBC"/>
    <w:rsid w:val="00461CE2"/>
    <w:rsid w:val="00462433"/>
    <w:rsid w:val="00463186"/>
    <w:rsid w:val="004643E2"/>
    <w:rsid w:val="00464C27"/>
    <w:rsid w:val="00464E3F"/>
    <w:rsid w:val="004656EE"/>
    <w:rsid w:val="00470E0B"/>
    <w:rsid w:val="0047132B"/>
    <w:rsid w:val="0047343C"/>
    <w:rsid w:val="004736B0"/>
    <w:rsid w:val="00473987"/>
    <w:rsid w:val="00475D12"/>
    <w:rsid w:val="00480A63"/>
    <w:rsid w:val="00481F7A"/>
    <w:rsid w:val="004828CA"/>
    <w:rsid w:val="004834C4"/>
    <w:rsid w:val="00484455"/>
    <w:rsid w:val="00484907"/>
    <w:rsid w:val="0048594E"/>
    <w:rsid w:val="0049161A"/>
    <w:rsid w:val="00492016"/>
    <w:rsid w:val="00494208"/>
    <w:rsid w:val="00494F76"/>
    <w:rsid w:val="00495101"/>
    <w:rsid w:val="0049588B"/>
    <w:rsid w:val="00496979"/>
    <w:rsid w:val="004A4F1C"/>
    <w:rsid w:val="004A4FFF"/>
    <w:rsid w:val="004A657C"/>
    <w:rsid w:val="004A7796"/>
    <w:rsid w:val="004A7DEF"/>
    <w:rsid w:val="004B07A2"/>
    <w:rsid w:val="004B2FA9"/>
    <w:rsid w:val="004B3B92"/>
    <w:rsid w:val="004B5163"/>
    <w:rsid w:val="004C1523"/>
    <w:rsid w:val="004C1B6B"/>
    <w:rsid w:val="004C3442"/>
    <w:rsid w:val="004C50C8"/>
    <w:rsid w:val="004C5899"/>
    <w:rsid w:val="004C6D05"/>
    <w:rsid w:val="004D104D"/>
    <w:rsid w:val="004D559B"/>
    <w:rsid w:val="004D56A6"/>
    <w:rsid w:val="004D58D0"/>
    <w:rsid w:val="004D5DE3"/>
    <w:rsid w:val="004D65EC"/>
    <w:rsid w:val="004D6D09"/>
    <w:rsid w:val="004D700E"/>
    <w:rsid w:val="004E3A89"/>
    <w:rsid w:val="004E3AE2"/>
    <w:rsid w:val="004E5595"/>
    <w:rsid w:val="004E7A68"/>
    <w:rsid w:val="004F54CA"/>
    <w:rsid w:val="004F6BDC"/>
    <w:rsid w:val="00500FF4"/>
    <w:rsid w:val="00503398"/>
    <w:rsid w:val="005052C7"/>
    <w:rsid w:val="005054B5"/>
    <w:rsid w:val="005078D9"/>
    <w:rsid w:val="005102C8"/>
    <w:rsid w:val="005122A2"/>
    <w:rsid w:val="005138E5"/>
    <w:rsid w:val="00515729"/>
    <w:rsid w:val="00516AED"/>
    <w:rsid w:val="00521468"/>
    <w:rsid w:val="005214A3"/>
    <w:rsid w:val="00523C2D"/>
    <w:rsid w:val="00526434"/>
    <w:rsid w:val="00526C76"/>
    <w:rsid w:val="00526E7D"/>
    <w:rsid w:val="00530ECD"/>
    <w:rsid w:val="00531E56"/>
    <w:rsid w:val="00533CBF"/>
    <w:rsid w:val="00534FE5"/>
    <w:rsid w:val="00535967"/>
    <w:rsid w:val="00537F70"/>
    <w:rsid w:val="005406F6"/>
    <w:rsid w:val="00541530"/>
    <w:rsid w:val="00543B73"/>
    <w:rsid w:val="005440FF"/>
    <w:rsid w:val="00544941"/>
    <w:rsid w:val="00544A01"/>
    <w:rsid w:val="00544B65"/>
    <w:rsid w:val="0055095F"/>
    <w:rsid w:val="00550A95"/>
    <w:rsid w:val="0055142E"/>
    <w:rsid w:val="005528D5"/>
    <w:rsid w:val="00552F14"/>
    <w:rsid w:val="005534B7"/>
    <w:rsid w:val="005540FC"/>
    <w:rsid w:val="00557A04"/>
    <w:rsid w:val="00557AC1"/>
    <w:rsid w:val="005606E7"/>
    <w:rsid w:val="0056096C"/>
    <w:rsid w:val="00561E3A"/>
    <w:rsid w:val="00562847"/>
    <w:rsid w:val="0056625B"/>
    <w:rsid w:val="0057027B"/>
    <w:rsid w:val="005707AA"/>
    <w:rsid w:val="00572303"/>
    <w:rsid w:val="00572437"/>
    <w:rsid w:val="00572FB3"/>
    <w:rsid w:val="0057736F"/>
    <w:rsid w:val="00581712"/>
    <w:rsid w:val="00583354"/>
    <w:rsid w:val="005835E2"/>
    <w:rsid w:val="00584407"/>
    <w:rsid w:val="00584B15"/>
    <w:rsid w:val="00584E10"/>
    <w:rsid w:val="00587482"/>
    <w:rsid w:val="00590ADE"/>
    <w:rsid w:val="00596036"/>
    <w:rsid w:val="005A13CE"/>
    <w:rsid w:val="005A2F8E"/>
    <w:rsid w:val="005A5B9E"/>
    <w:rsid w:val="005A63D9"/>
    <w:rsid w:val="005A724A"/>
    <w:rsid w:val="005B0F12"/>
    <w:rsid w:val="005B289C"/>
    <w:rsid w:val="005B34AC"/>
    <w:rsid w:val="005B38C6"/>
    <w:rsid w:val="005B3F0A"/>
    <w:rsid w:val="005B7D0E"/>
    <w:rsid w:val="005B7E15"/>
    <w:rsid w:val="005C6AA8"/>
    <w:rsid w:val="005C7A44"/>
    <w:rsid w:val="005D14D1"/>
    <w:rsid w:val="005D31C3"/>
    <w:rsid w:val="005D3739"/>
    <w:rsid w:val="005D6468"/>
    <w:rsid w:val="005D74FA"/>
    <w:rsid w:val="005D77C0"/>
    <w:rsid w:val="005E0517"/>
    <w:rsid w:val="005E0B71"/>
    <w:rsid w:val="005E0E2B"/>
    <w:rsid w:val="005E2AE3"/>
    <w:rsid w:val="005E40CF"/>
    <w:rsid w:val="005E773B"/>
    <w:rsid w:val="005E7AF4"/>
    <w:rsid w:val="005F12D6"/>
    <w:rsid w:val="005F1474"/>
    <w:rsid w:val="005F341A"/>
    <w:rsid w:val="005F78AE"/>
    <w:rsid w:val="00601645"/>
    <w:rsid w:val="0060282E"/>
    <w:rsid w:val="00602B7F"/>
    <w:rsid w:val="006053C2"/>
    <w:rsid w:val="0060584C"/>
    <w:rsid w:val="00605D16"/>
    <w:rsid w:val="0060681E"/>
    <w:rsid w:val="0060695A"/>
    <w:rsid w:val="006107A2"/>
    <w:rsid w:val="00610931"/>
    <w:rsid w:val="00610CB1"/>
    <w:rsid w:val="006113D2"/>
    <w:rsid w:val="00611F9C"/>
    <w:rsid w:val="0061246A"/>
    <w:rsid w:val="00612657"/>
    <w:rsid w:val="00612E6A"/>
    <w:rsid w:val="00613660"/>
    <w:rsid w:val="00613760"/>
    <w:rsid w:val="00615494"/>
    <w:rsid w:val="00620005"/>
    <w:rsid w:val="00620191"/>
    <w:rsid w:val="00620927"/>
    <w:rsid w:val="00620C3D"/>
    <w:rsid w:val="00621925"/>
    <w:rsid w:val="00622905"/>
    <w:rsid w:val="00622908"/>
    <w:rsid w:val="00630401"/>
    <w:rsid w:val="00630A43"/>
    <w:rsid w:val="00634648"/>
    <w:rsid w:val="00635DB1"/>
    <w:rsid w:val="006363A3"/>
    <w:rsid w:val="00640B28"/>
    <w:rsid w:val="0064188B"/>
    <w:rsid w:val="00642D7E"/>
    <w:rsid w:val="00643B65"/>
    <w:rsid w:val="0064478C"/>
    <w:rsid w:val="006448EF"/>
    <w:rsid w:val="00646BF5"/>
    <w:rsid w:val="00646FB7"/>
    <w:rsid w:val="006472FC"/>
    <w:rsid w:val="00647EE2"/>
    <w:rsid w:val="00651031"/>
    <w:rsid w:val="00651A20"/>
    <w:rsid w:val="00652A8C"/>
    <w:rsid w:val="006555B2"/>
    <w:rsid w:val="00661675"/>
    <w:rsid w:val="00663CD7"/>
    <w:rsid w:val="006649B0"/>
    <w:rsid w:val="00664CC2"/>
    <w:rsid w:val="0066524D"/>
    <w:rsid w:val="00666A59"/>
    <w:rsid w:val="006672E2"/>
    <w:rsid w:val="00672735"/>
    <w:rsid w:val="00673D1A"/>
    <w:rsid w:val="006740FC"/>
    <w:rsid w:val="00674AEA"/>
    <w:rsid w:val="00681764"/>
    <w:rsid w:val="00681B0E"/>
    <w:rsid w:val="00682627"/>
    <w:rsid w:val="00684A53"/>
    <w:rsid w:val="00690510"/>
    <w:rsid w:val="00691C53"/>
    <w:rsid w:val="00692393"/>
    <w:rsid w:val="006946D2"/>
    <w:rsid w:val="0069487A"/>
    <w:rsid w:val="00695227"/>
    <w:rsid w:val="006957B8"/>
    <w:rsid w:val="00695D48"/>
    <w:rsid w:val="00695EA6"/>
    <w:rsid w:val="006975B4"/>
    <w:rsid w:val="006A28C3"/>
    <w:rsid w:val="006A3498"/>
    <w:rsid w:val="006A3885"/>
    <w:rsid w:val="006A3F2C"/>
    <w:rsid w:val="006A4ED6"/>
    <w:rsid w:val="006B19A2"/>
    <w:rsid w:val="006B27D2"/>
    <w:rsid w:val="006B4382"/>
    <w:rsid w:val="006B708E"/>
    <w:rsid w:val="006B78E8"/>
    <w:rsid w:val="006B7934"/>
    <w:rsid w:val="006C2096"/>
    <w:rsid w:val="006C57EB"/>
    <w:rsid w:val="006C622F"/>
    <w:rsid w:val="006C70BD"/>
    <w:rsid w:val="006C72D9"/>
    <w:rsid w:val="006D019D"/>
    <w:rsid w:val="006D0FB0"/>
    <w:rsid w:val="006D5C5F"/>
    <w:rsid w:val="006D68BB"/>
    <w:rsid w:val="006D70A6"/>
    <w:rsid w:val="006D7866"/>
    <w:rsid w:val="006D7A37"/>
    <w:rsid w:val="006E5686"/>
    <w:rsid w:val="006E679D"/>
    <w:rsid w:val="006E6935"/>
    <w:rsid w:val="006E6CDB"/>
    <w:rsid w:val="006F37DB"/>
    <w:rsid w:val="006F44D3"/>
    <w:rsid w:val="006F4624"/>
    <w:rsid w:val="006F63BD"/>
    <w:rsid w:val="00701568"/>
    <w:rsid w:val="00701F96"/>
    <w:rsid w:val="007055A8"/>
    <w:rsid w:val="00707836"/>
    <w:rsid w:val="00707B60"/>
    <w:rsid w:val="007107BA"/>
    <w:rsid w:val="00711505"/>
    <w:rsid w:val="00714872"/>
    <w:rsid w:val="00717891"/>
    <w:rsid w:val="0071791A"/>
    <w:rsid w:val="00720F7A"/>
    <w:rsid w:val="0072216D"/>
    <w:rsid w:val="00731604"/>
    <w:rsid w:val="007322AE"/>
    <w:rsid w:val="00732F1F"/>
    <w:rsid w:val="0073453D"/>
    <w:rsid w:val="00734AE7"/>
    <w:rsid w:val="007370ED"/>
    <w:rsid w:val="00741D2A"/>
    <w:rsid w:val="00742DC6"/>
    <w:rsid w:val="007461C0"/>
    <w:rsid w:val="0075070F"/>
    <w:rsid w:val="007510C1"/>
    <w:rsid w:val="0075142D"/>
    <w:rsid w:val="00752D0E"/>
    <w:rsid w:val="00753385"/>
    <w:rsid w:val="00755E12"/>
    <w:rsid w:val="007560B3"/>
    <w:rsid w:val="007560C6"/>
    <w:rsid w:val="007634FD"/>
    <w:rsid w:val="00763ED1"/>
    <w:rsid w:val="0077191E"/>
    <w:rsid w:val="00771991"/>
    <w:rsid w:val="00771AD3"/>
    <w:rsid w:val="007743CA"/>
    <w:rsid w:val="0077562A"/>
    <w:rsid w:val="00775CC5"/>
    <w:rsid w:val="00781D2D"/>
    <w:rsid w:val="007865F7"/>
    <w:rsid w:val="00786A7B"/>
    <w:rsid w:val="00796444"/>
    <w:rsid w:val="00797A1B"/>
    <w:rsid w:val="007A01E6"/>
    <w:rsid w:val="007A2787"/>
    <w:rsid w:val="007A402D"/>
    <w:rsid w:val="007A4795"/>
    <w:rsid w:val="007A69E5"/>
    <w:rsid w:val="007B0248"/>
    <w:rsid w:val="007B0B01"/>
    <w:rsid w:val="007B1891"/>
    <w:rsid w:val="007B2A73"/>
    <w:rsid w:val="007B4E2E"/>
    <w:rsid w:val="007B7A9B"/>
    <w:rsid w:val="007C0272"/>
    <w:rsid w:val="007C0BE5"/>
    <w:rsid w:val="007C0C70"/>
    <w:rsid w:val="007C1939"/>
    <w:rsid w:val="007C2ED0"/>
    <w:rsid w:val="007C40B7"/>
    <w:rsid w:val="007D4C10"/>
    <w:rsid w:val="007D4FDC"/>
    <w:rsid w:val="007D5868"/>
    <w:rsid w:val="007D61F1"/>
    <w:rsid w:val="007D76FC"/>
    <w:rsid w:val="007E00E5"/>
    <w:rsid w:val="007E0F8C"/>
    <w:rsid w:val="007E26B8"/>
    <w:rsid w:val="007E343C"/>
    <w:rsid w:val="007E6DF4"/>
    <w:rsid w:val="007E7165"/>
    <w:rsid w:val="007F04BE"/>
    <w:rsid w:val="007F0ED7"/>
    <w:rsid w:val="007F1688"/>
    <w:rsid w:val="007F227F"/>
    <w:rsid w:val="007F2AA4"/>
    <w:rsid w:val="007F429F"/>
    <w:rsid w:val="007F47E0"/>
    <w:rsid w:val="007F5016"/>
    <w:rsid w:val="007F588E"/>
    <w:rsid w:val="007F6307"/>
    <w:rsid w:val="007F64DA"/>
    <w:rsid w:val="008009D6"/>
    <w:rsid w:val="00800B85"/>
    <w:rsid w:val="008015B5"/>
    <w:rsid w:val="00801756"/>
    <w:rsid w:val="00802B3E"/>
    <w:rsid w:val="00804D77"/>
    <w:rsid w:val="0080745B"/>
    <w:rsid w:val="00810161"/>
    <w:rsid w:val="00815829"/>
    <w:rsid w:val="00816D95"/>
    <w:rsid w:val="00821BDA"/>
    <w:rsid w:val="00825E17"/>
    <w:rsid w:val="00825F32"/>
    <w:rsid w:val="008271BF"/>
    <w:rsid w:val="00830342"/>
    <w:rsid w:val="00830461"/>
    <w:rsid w:val="00830541"/>
    <w:rsid w:val="00832B1E"/>
    <w:rsid w:val="00833A75"/>
    <w:rsid w:val="00834CC6"/>
    <w:rsid w:val="00835B6A"/>
    <w:rsid w:val="00836F57"/>
    <w:rsid w:val="00837C1D"/>
    <w:rsid w:val="00837C8E"/>
    <w:rsid w:val="00837E89"/>
    <w:rsid w:val="0084097E"/>
    <w:rsid w:val="00840AC3"/>
    <w:rsid w:val="008412A7"/>
    <w:rsid w:val="00846673"/>
    <w:rsid w:val="00847E8A"/>
    <w:rsid w:val="0085069B"/>
    <w:rsid w:val="00852743"/>
    <w:rsid w:val="00853692"/>
    <w:rsid w:val="008544B2"/>
    <w:rsid w:val="00855445"/>
    <w:rsid w:val="008564E9"/>
    <w:rsid w:val="00856BFF"/>
    <w:rsid w:val="00857EC5"/>
    <w:rsid w:val="0086434E"/>
    <w:rsid w:val="008643EC"/>
    <w:rsid w:val="008656F6"/>
    <w:rsid w:val="00865A5F"/>
    <w:rsid w:val="00867E03"/>
    <w:rsid w:val="00867E7E"/>
    <w:rsid w:val="00871170"/>
    <w:rsid w:val="00873A00"/>
    <w:rsid w:val="00876F30"/>
    <w:rsid w:val="00877B42"/>
    <w:rsid w:val="00881493"/>
    <w:rsid w:val="008820F1"/>
    <w:rsid w:val="00882343"/>
    <w:rsid w:val="008823C7"/>
    <w:rsid w:val="00882830"/>
    <w:rsid w:val="00891659"/>
    <w:rsid w:val="00893411"/>
    <w:rsid w:val="00895958"/>
    <w:rsid w:val="0089641F"/>
    <w:rsid w:val="008A41AB"/>
    <w:rsid w:val="008A4B9F"/>
    <w:rsid w:val="008A5DEA"/>
    <w:rsid w:val="008A63BF"/>
    <w:rsid w:val="008A6DEC"/>
    <w:rsid w:val="008B07D9"/>
    <w:rsid w:val="008B128F"/>
    <w:rsid w:val="008B36D2"/>
    <w:rsid w:val="008B6D55"/>
    <w:rsid w:val="008C163F"/>
    <w:rsid w:val="008C7498"/>
    <w:rsid w:val="008D0932"/>
    <w:rsid w:val="008D0D0B"/>
    <w:rsid w:val="008D0EF9"/>
    <w:rsid w:val="008D19E5"/>
    <w:rsid w:val="008D2AAD"/>
    <w:rsid w:val="008D4279"/>
    <w:rsid w:val="008D4759"/>
    <w:rsid w:val="008D4FE6"/>
    <w:rsid w:val="008E15CF"/>
    <w:rsid w:val="008E197D"/>
    <w:rsid w:val="008E1D22"/>
    <w:rsid w:val="008E1FD9"/>
    <w:rsid w:val="008E28B5"/>
    <w:rsid w:val="008E297D"/>
    <w:rsid w:val="008E3ADE"/>
    <w:rsid w:val="008E5793"/>
    <w:rsid w:val="008F0295"/>
    <w:rsid w:val="008F0593"/>
    <w:rsid w:val="008F19C1"/>
    <w:rsid w:val="008F2E48"/>
    <w:rsid w:val="008F3920"/>
    <w:rsid w:val="008F5F18"/>
    <w:rsid w:val="008F760E"/>
    <w:rsid w:val="009031A6"/>
    <w:rsid w:val="00905B0D"/>
    <w:rsid w:val="0090761F"/>
    <w:rsid w:val="00907F1F"/>
    <w:rsid w:val="00910755"/>
    <w:rsid w:val="00912708"/>
    <w:rsid w:val="00912CF3"/>
    <w:rsid w:val="009138A9"/>
    <w:rsid w:val="00914EC7"/>
    <w:rsid w:val="0092496A"/>
    <w:rsid w:val="00924B83"/>
    <w:rsid w:val="00925274"/>
    <w:rsid w:val="00925760"/>
    <w:rsid w:val="00931C7F"/>
    <w:rsid w:val="00933FE5"/>
    <w:rsid w:val="00934EC4"/>
    <w:rsid w:val="00940AD8"/>
    <w:rsid w:val="00941192"/>
    <w:rsid w:val="009418E1"/>
    <w:rsid w:val="009426BD"/>
    <w:rsid w:val="00942EB8"/>
    <w:rsid w:val="00943636"/>
    <w:rsid w:val="00944F4D"/>
    <w:rsid w:val="00947345"/>
    <w:rsid w:val="00951503"/>
    <w:rsid w:val="00951D1E"/>
    <w:rsid w:val="009521C8"/>
    <w:rsid w:val="00952651"/>
    <w:rsid w:val="00952CD0"/>
    <w:rsid w:val="00954A43"/>
    <w:rsid w:val="0095585F"/>
    <w:rsid w:val="00956363"/>
    <w:rsid w:val="0095744D"/>
    <w:rsid w:val="00963B92"/>
    <w:rsid w:val="00966685"/>
    <w:rsid w:val="009725E0"/>
    <w:rsid w:val="00977562"/>
    <w:rsid w:val="00983F0C"/>
    <w:rsid w:val="00984172"/>
    <w:rsid w:val="00986495"/>
    <w:rsid w:val="00987055"/>
    <w:rsid w:val="0099201A"/>
    <w:rsid w:val="00993233"/>
    <w:rsid w:val="0099365D"/>
    <w:rsid w:val="00993B29"/>
    <w:rsid w:val="009A197D"/>
    <w:rsid w:val="009A4262"/>
    <w:rsid w:val="009A435E"/>
    <w:rsid w:val="009A4CFC"/>
    <w:rsid w:val="009A7269"/>
    <w:rsid w:val="009B17BC"/>
    <w:rsid w:val="009B20E8"/>
    <w:rsid w:val="009B2160"/>
    <w:rsid w:val="009B3DE9"/>
    <w:rsid w:val="009B6C4D"/>
    <w:rsid w:val="009B7B64"/>
    <w:rsid w:val="009B7B7A"/>
    <w:rsid w:val="009C36A6"/>
    <w:rsid w:val="009C4070"/>
    <w:rsid w:val="009C4760"/>
    <w:rsid w:val="009D4B88"/>
    <w:rsid w:val="009D71B3"/>
    <w:rsid w:val="009E0B08"/>
    <w:rsid w:val="009E0E6B"/>
    <w:rsid w:val="009E5CA9"/>
    <w:rsid w:val="009E5E1F"/>
    <w:rsid w:val="009E6438"/>
    <w:rsid w:val="009F0213"/>
    <w:rsid w:val="009F097F"/>
    <w:rsid w:val="009F1224"/>
    <w:rsid w:val="009F2EF5"/>
    <w:rsid w:val="009F3A5F"/>
    <w:rsid w:val="009F5907"/>
    <w:rsid w:val="009F6AD6"/>
    <w:rsid w:val="009F7096"/>
    <w:rsid w:val="009F70E6"/>
    <w:rsid w:val="00A00EEC"/>
    <w:rsid w:val="00A04069"/>
    <w:rsid w:val="00A0489D"/>
    <w:rsid w:val="00A05165"/>
    <w:rsid w:val="00A0735E"/>
    <w:rsid w:val="00A07655"/>
    <w:rsid w:val="00A108D4"/>
    <w:rsid w:val="00A10BF0"/>
    <w:rsid w:val="00A1521E"/>
    <w:rsid w:val="00A15B09"/>
    <w:rsid w:val="00A16E5F"/>
    <w:rsid w:val="00A210E2"/>
    <w:rsid w:val="00A21AB7"/>
    <w:rsid w:val="00A26AD1"/>
    <w:rsid w:val="00A346C0"/>
    <w:rsid w:val="00A41C1B"/>
    <w:rsid w:val="00A4428E"/>
    <w:rsid w:val="00A44DE5"/>
    <w:rsid w:val="00A5542C"/>
    <w:rsid w:val="00A554E9"/>
    <w:rsid w:val="00A614BD"/>
    <w:rsid w:val="00A62A1D"/>
    <w:rsid w:val="00A642A8"/>
    <w:rsid w:val="00A66362"/>
    <w:rsid w:val="00A66B89"/>
    <w:rsid w:val="00A703D3"/>
    <w:rsid w:val="00A74C06"/>
    <w:rsid w:val="00A7682C"/>
    <w:rsid w:val="00A76C56"/>
    <w:rsid w:val="00A77A5B"/>
    <w:rsid w:val="00A81AC2"/>
    <w:rsid w:val="00A90ADD"/>
    <w:rsid w:val="00A91FF7"/>
    <w:rsid w:val="00A92751"/>
    <w:rsid w:val="00A92F31"/>
    <w:rsid w:val="00A94A46"/>
    <w:rsid w:val="00A95626"/>
    <w:rsid w:val="00A97AC4"/>
    <w:rsid w:val="00AA1755"/>
    <w:rsid w:val="00AA3D68"/>
    <w:rsid w:val="00AA564C"/>
    <w:rsid w:val="00AB129B"/>
    <w:rsid w:val="00AB30D1"/>
    <w:rsid w:val="00AB3728"/>
    <w:rsid w:val="00AB5561"/>
    <w:rsid w:val="00AC07E5"/>
    <w:rsid w:val="00AC56AF"/>
    <w:rsid w:val="00AC581C"/>
    <w:rsid w:val="00AD03ED"/>
    <w:rsid w:val="00AD051A"/>
    <w:rsid w:val="00AD1010"/>
    <w:rsid w:val="00AD149B"/>
    <w:rsid w:val="00AE03A1"/>
    <w:rsid w:val="00AE67F3"/>
    <w:rsid w:val="00AF0B97"/>
    <w:rsid w:val="00AF1C7B"/>
    <w:rsid w:val="00AF1E37"/>
    <w:rsid w:val="00AF3B8B"/>
    <w:rsid w:val="00AF63F0"/>
    <w:rsid w:val="00AF6A67"/>
    <w:rsid w:val="00B019DF"/>
    <w:rsid w:val="00B05A6D"/>
    <w:rsid w:val="00B0742E"/>
    <w:rsid w:val="00B10A7C"/>
    <w:rsid w:val="00B11C43"/>
    <w:rsid w:val="00B127A8"/>
    <w:rsid w:val="00B14EFF"/>
    <w:rsid w:val="00B14F80"/>
    <w:rsid w:val="00B174AD"/>
    <w:rsid w:val="00B20677"/>
    <w:rsid w:val="00B2408B"/>
    <w:rsid w:val="00B24315"/>
    <w:rsid w:val="00B25FBC"/>
    <w:rsid w:val="00B263E0"/>
    <w:rsid w:val="00B324BB"/>
    <w:rsid w:val="00B3358E"/>
    <w:rsid w:val="00B34602"/>
    <w:rsid w:val="00B34E27"/>
    <w:rsid w:val="00B41469"/>
    <w:rsid w:val="00B44A42"/>
    <w:rsid w:val="00B47050"/>
    <w:rsid w:val="00B50888"/>
    <w:rsid w:val="00B50D6C"/>
    <w:rsid w:val="00B50DF9"/>
    <w:rsid w:val="00B518CF"/>
    <w:rsid w:val="00B53BEC"/>
    <w:rsid w:val="00B57048"/>
    <w:rsid w:val="00B57C76"/>
    <w:rsid w:val="00B60894"/>
    <w:rsid w:val="00B64404"/>
    <w:rsid w:val="00B64BAE"/>
    <w:rsid w:val="00B65AAE"/>
    <w:rsid w:val="00B70479"/>
    <w:rsid w:val="00B7068D"/>
    <w:rsid w:val="00B70755"/>
    <w:rsid w:val="00B71551"/>
    <w:rsid w:val="00B736DF"/>
    <w:rsid w:val="00B73B43"/>
    <w:rsid w:val="00B74492"/>
    <w:rsid w:val="00B8285A"/>
    <w:rsid w:val="00B83787"/>
    <w:rsid w:val="00B857A6"/>
    <w:rsid w:val="00B86994"/>
    <w:rsid w:val="00B87E94"/>
    <w:rsid w:val="00B92B03"/>
    <w:rsid w:val="00B96118"/>
    <w:rsid w:val="00BA2D23"/>
    <w:rsid w:val="00BA3FB9"/>
    <w:rsid w:val="00BA5C3B"/>
    <w:rsid w:val="00BB0569"/>
    <w:rsid w:val="00BB056F"/>
    <w:rsid w:val="00BB27AA"/>
    <w:rsid w:val="00BB3136"/>
    <w:rsid w:val="00BB5043"/>
    <w:rsid w:val="00BB5CCB"/>
    <w:rsid w:val="00BB5F37"/>
    <w:rsid w:val="00BB6B31"/>
    <w:rsid w:val="00BC2BE7"/>
    <w:rsid w:val="00BC2DCA"/>
    <w:rsid w:val="00BC2FFC"/>
    <w:rsid w:val="00BC3724"/>
    <w:rsid w:val="00BD2F14"/>
    <w:rsid w:val="00BD7D68"/>
    <w:rsid w:val="00BD7E14"/>
    <w:rsid w:val="00BE2D61"/>
    <w:rsid w:val="00BE3C82"/>
    <w:rsid w:val="00BE4615"/>
    <w:rsid w:val="00BE51AC"/>
    <w:rsid w:val="00BE548C"/>
    <w:rsid w:val="00BF2562"/>
    <w:rsid w:val="00BF3B59"/>
    <w:rsid w:val="00BF57FF"/>
    <w:rsid w:val="00BF5AB9"/>
    <w:rsid w:val="00C02432"/>
    <w:rsid w:val="00C04EDB"/>
    <w:rsid w:val="00C0529F"/>
    <w:rsid w:val="00C054A0"/>
    <w:rsid w:val="00C07175"/>
    <w:rsid w:val="00C10B93"/>
    <w:rsid w:val="00C12F56"/>
    <w:rsid w:val="00C16CAC"/>
    <w:rsid w:val="00C16DF6"/>
    <w:rsid w:val="00C22ED7"/>
    <w:rsid w:val="00C23D2E"/>
    <w:rsid w:val="00C25BF4"/>
    <w:rsid w:val="00C26B04"/>
    <w:rsid w:val="00C27922"/>
    <w:rsid w:val="00C27E7F"/>
    <w:rsid w:val="00C331D9"/>
    <w:rsid w:val="00C33554"/>
    <w:rsid w:val="00C33CE6"/>
    <w:rsid w:val="00C34EDF"/>
    <w:rsid w:val="00C37EE5"/>
    <w:rsid w:val="00C4031E"/>
    <w:rsid w:val="00C405F2"/>
    <w:rsid w:val="00C4064B"/>
    <w:rsid w:val="00C41016"/>
    <w:rsid w:val="00C41EBB"/>
    <w:rsid w:val="00C52080"/>
    <w:rsid w:val="00C5255C"/>
    <w:rsid w:val="00C52F17"/>
    <w:rsid w:val="00C55331"/>
    <w:rsid w:val="00C60344"/>
    <w:rsid w:val="00C62AEC"/>
    <w:rsid w:val="00C70599"/>
    <w:rsid w:val="00C70CA9"/>
    <w:rsid w:val="00C7300E"/>
    <w:rsid w:val="00C7378D"/>
    <w:rsid w:val="00C737FC"/>
    <w:rsid w:val="00C75FCA"/>
    <w:rsid w:val="00C80A6C"/>
    <w:rsid w:val="00C81D55"/>
    <w:rsid w:val="00C900FD"/>
    <w:rsid w:val="00C90152"/>
    <w:rsid w:val="00C903CE"/>
    <w:rsid w:val="00C923FD"/>
    <w:rsid w:val="00C9431C"/>
    <w:rsid w:val="00C97375"/>
    <w:rsid w:val="00C979D0"/>
    <w:rsid w:val="00CA0028"/>
    <w:rsid w:val="00CA09D4"/>
    <w:rsid w:val="00CA1842"/>
    <w:rsid w:val="00CA1B38"/>
    <w:rsid w:val="00CB13E4"/>
    <w:rsid w:val="00CB14E2"/>
    <w:rsid w:val="00CB16E4"/>
    <w:rsid w:val="00CB1A6A"/>
    <w:rsid w:val="00CB1E62"/>
    <w:rsid w:val="00CB214F"/>
    <w:rsid w:val="00CB4983"/>
    <w:rsid w:val="00CB5332"/>
    <w:rsid w:val="00CB62DB"/>
    <w:rsid w:val="00CC361C"/>
    <w:rsid w:val="00CC5E05"/>
    <w:rsid w:val="00CD082C"/>
    <w:rsid w:val="00CD2200"/>
    <w:rsid w:val="00CD2E85"/>
    <w:rsid w:val="00CD2FC7"/>
    <w:rsid w:val="00CD38CB"/>
    <w:rsid w:val="00CE5500"/>
    <w:rsid w:val="00CE7AD1"/>
    <w:rsid w:val="00CF0125"/>
    <w:rsid w:val="00CF2DCF"/>
    <w:rsid w:val="00CF3F5A"/>
    <w:rsid w:val="00CF7B73"/>
    <w:rsid w:val="00D00A43"/>
    <w:rsid w:val="00D01DFC"/>
    <w:rsid w:val="00D0521A"/>
    <w:rsid w:val="00D06BD5"/>
    <w:rsid w:val="00D12D7E"/>
    <w:rsid w:val="00D12FBD"/>
    <w:rsid w:val="00D136C4"/>
    <w:rsid w:val="00D146E5"/>
    <w:rsid w:val="00D14ADB"/>
    <w:rsid w:val="00D14D4F"/>
    <w:rsid w:val="00D17558"/>
    <w:rsid w:val="00D17E1C"/>
    <w:rsid w:val="00D17E50"/>
    <w:rsid w:val="00D20C10"/>
    <w:rsid w:val="00D21842"/>
    <w:rsid w:val="00D2212E"/>
    <w:rsid w:val="00D230BE"/>
    <w:rsid w:val="00D23ED2"/>
    <w:rsid w:val="00D26D07"/>
    <w:rsid w:val="00D3488F"/>
    <w:rsid w:val="00D35405"/>
    <w:rsid w:val="00D3540D"/>
    <w:rsid w:val="00D4444C"/>
    <w:rsid w:val="00D46D2B"/>
    <w:rsid w:val="00D475A8"/>
    <w:rsid w:val="00D47BD6"/>
    <w:rsid w:val="00D47FE0"/>
    <w:rsid w:val="00D52F8C"/>
    <w:rsid w:val="00D545A7"/>
    <w:rsid w:val="00D569D9"/>
    <w:rsid w:val="00D576E3"/>
    <w:rsid w:val="00D5775C"/>
    <w:rsid w:val="00D62A85"/>
    <w:rsid w:val="00D65F29"/>
    <w:rsid w:val="00D67A56"/>
    <w:rsid w:val="00D67C29"/>
    <w:rsid w:val="00D73110"/>
    <w:rsid w:val="00D73148"/>
    <w:rsid w:val="00D737CA"/>
    <w:rsid w:val="00D7662D"/>
    <w:rsid w:val="00D77434"/>
    <w:rsid w:val="00D8544B"/>
    <w:rsid w:val="00D85A80"/>
    <w:rsid w:val="00D8697C"/>
    <w:rsid w:val="00D86FBE"/>
    <w:rsid w:val="00D877A2"/>
    <w:rsid w:val="00D931CF"/>
    <w:rsid w:val="00D94F9E"/>
    <w:rsid w:val="00DA19FD"/>
    <w:rsid w:val="00DA2E28"/>
    <w:rsid w:val="00DA3ADA"/>
    <w:rsid w:val="00DA3B47"/>
    <w:rsid w:val="00DA585B"/>
    <w:rsid w:val="00DA623E"/>
    <w:rsid w:val="00DA65A2"/>
    <w:rsid w:val="00DA6967"/>
    <w:rsid w:val="00DA70C9"/>
    <w:rsid w:val="00DA79F9"/>
    <w:rsid w:val="00DB0411"/>
    <w:rsid w:val="00DB469E"/>
    <w:rsid w:val="00DB4883"/>
    <w:rsid w:val="00DB6BBD"/>
    <w:rsid w:val="00DB6C82"/>
    <w:rsid w:val="00DC17E2"/>
    <w:rsid w:val="00DC2E9E"/>
    <w:rsid w:val="00DC548D"/>
    <w:rsid w:val="00DC7602"/>
    <w:rsid w:val="00DC7705"/>
    <w:rsid w:val="00DD06EE"/>
    <w:rsid w:val="00DD1188"/>
    <w:rsid w:val="00DD1A1A"/>
    <w:rsid w:val="00DD1AD3"/>
    <w:rsid w:val="00DD3EE9"/>
    <w:rsid w:val="00DE318C"/>
    <w:rsid w:val="00DE3DD8"/>
    <w:rsid w:val="00DE7400"/>
    <w:rsid w:val="00DF0761"/>
    <w:rsid w:val="00DF14BC"/>
    <w:rsid w:val="00DF21A6"/>
    <w:rsid w:val="00DF5BDA"/>
    <w:rsid w:val="00DF627D"/>
    <w:rsid w:val="00DF7126"/>
    <w:rsid w:val="00E02220"/>
    <w:rsid w:val="00E026A9"/>
    <w:rsid w:val="00E05499"/>
    <w:rsid w:val="00E05F84"/>
    <w:rsid w:val="00E07018"/>
    <w:rsid w:val="00E071A9"/>
    <w:rsid w:val="00E127DF"/>
    <w:rsid w:val="00E134F6"/>
    <w:rsid w:val="00E14271"/>
    <w:rsid w:val="00E15681"/>
    <w:rsid w:val="00E22A52"/>
    <w:rsid w:val="00E30CFC"/>
    <w:rsid w:val="00E316D0"/>
    <w:rsid w:val="00E32608"/>
    <w:rsid w:val="00E339F8"/>
    <w:rsid w:val="00E35B18"/>
    <w:rsid w:val="00E40C13"/>
    <w:rsid w:val="00E41C22"/>
    <w:rsid w:val="00E42BE7"/>
    <w:rsid w:val="00E42D51"/>
    <w:rsid w:val="00E42DF7"/>
    <w:rsid w:val="00E43B0E"/>
    <w:rsid w:val="00E51D47"/>
    <w:rsid w:val="00E52B7C"/>
    <w:rsid w:val="00E534AA"/>
    <w:rsid w:val="00E53C3F"/>
    <w:rsid w:val="00E55585"/>
    <w:rsid w:val="00E60E89"/>
    <w:rsid w:val="00E6666E"/>
    <w:rsid w:val="00E67ED9"/>
    <w:rsid w:val="00E71CDF"/>
    <w:rsid w:val="00E72141"/>
    <w:rsid w:val="00E74160"/>
    <w:rsid w:val="00E74788"/>
    <w:rsid w:val="00E747A2"/>
    <w:rsid w:val="00E74931"/>
    <w:rsid w:val="00E7510F"/>
    <w:rsid w:val="00E76899"/>
    <w:rsid w:val="00E818D6"/>
    <w:rsid w:val="00E824F1"/>
    <w:rsid w:val="00E83A08"/>
    <w:rsid w:val="00E8440F"/>
    <w:rsid w:val="00E85BCD"/>
    <w:rsid w:val="00E85C7F"/>
    <w:rsid w:val="00E90C04"/>
    <w:rsid w:val="00E918DF"/>
    <w:rsid w:val="00E92783"/>
    <w:rsid w:val="00E92978"/>
    <w:rsid w:val="00E929A4"/>
    <w:rsid w:val="00E92AE0"/>
    <w:rsid w:val="00E93A08"/>
    <w:rsid w:val="00E94937"/>
    <w:rsid w:val="00EA1A24"/>
    <w:rsid w:val="00EA6533"/>
    <w:rsid w:val="00EA7B73"/>
    <w:rsid w:val="00EB2047"/>
    <w:rsid w:val="00EB622D"/>
    <w:rsid w:val="00EB6A57"/>
    <w:rsid w:val="00EC0DCF"/>
    <w:rsid w:val="00EC1177"/>
    <w:rsid w:val="00EC5357"/>
    <w:rsid w:val="00EC62C6"/>
    <w:rsid w:val="00EC6D6D"/>
    <w:rsid w:val="00EC6F99"/>
    <w:rsid w:val="00ED08B7"/>
    <w:rsid w:val="00ED08CC"/>
    <w:rsid w:val="00ED18E2"/>
    <w:rsid w:val="00ED2AA3"/>
    <w:rsid w:val="00ED3510"/>
    <w:rsid w:val="00ED511F"/>
    <w:rsid w:val="00ED5C06"/>
    <w:rsid w:val="00EE3939"/>
    <w:rsid w:val="00EF1088"/>
    <w:rsid w:val="00EF3149"/>
    <w:rsid w:val="00EF40FA"/>
    <w:rsid w:val="00EF423C"/>
    <w:rsid w:val="00EF4AAD"/>
    <w:rsid w:val="00EF53B5"/>
    <w:rsid w:val="00EF53D6"/>
    <w:rsid w:val="00EF5C35"/>
    <w:rsid w:val="00EF5D7D"/>
    <w:rsid w:val="00EF6013"/>
    <w:rsid w:val="00F01440"/>
    <w:rsid w:val="00F04EBD"/>
    <w:rsid w:val="00F05324"/>
    <w:rsid w:val="00F10D4F"/>
    <w:rsid w:val="00F11BBD"/>
    <w:rsid w:val="00F134DA"/>
    <w:rsid w:val="00F151B8"/>
    <w:rsid w:val="00F154BD"/>
    <w:rsid w:val="00F27707"/>
    <w:rsid w:val="00F3055D"/>
    <w:rsid w:val="00F3109D"/>
    <w:rsid w:val="00F34F59"/>
    <w:rsid w:val="00F35AB7"/>
    <w:rsid w:val="00F36017"/>
    <w:rsid w:val="00F441AB"/>
    <w:rsid w:val="00F45AB8"/>
    <w:rsid w:val="00F45C21"/>
    <w:rsid w:val="00F51ABD"/>
    <w:rsid w:val="00F53A2E"/>
    <w:rsid w:val="00F53FDC"/>
    <w:rsid w:val="00F55E0A"/>
    <w:rsid w:val="00F56190"/>
    <w:rsid w:val="00F56DB3"/>
    <w:rsid w:val="00F6313A"/>
    <w:rsid w:val="00F6675C"/>
    <w:rsid w:val="00F672C2"/>
    <w:rsid w:val="00F70805"/>
    <w:rsid w:val="00F720CD"/>
    <w:rsid w:val="00F72C24"/>
    <w:rsid w:val="00F747E2"/>
    <w:rsid w:val="00F74C26"/>
    <w:rsid w:val="00F76CA3"/>
    <w:rsid w:val="00F77A60"/>
    <w:rsid w:val="00F8163B"/>
    <w:rsid w:val="00F819F1"/>
    <w:rsid w:val="00F82312"/>
    <w:rsid w:val="00F82CE8"/>
    <w:rsid w:val="00F901F2"/>
    <w:rsid w:val="00F9472A"/>
    <w:rsid w:val="00F9530D"/>
    <w:rsid w:val="00F955AE"/>
    <w:rsid w:val="00F97BA7"/>
    <w:rsid w:val="00FA054C"/>
    <w:rsid w:val="00FA72BD"/>
    <w:rsid w:val="00FA754D"/>
    <w:rsid w:val="00FA7DC0"/>
    <w:rsid w:val="00FB09EC"/>
    <w:rsid w:val="00FB2FE0"/>
    <w:rsid w:val="00FB3836"/>
    <w:rsid w:val="00FB419F"/>
    <w:rsid w:val="00FB4885"/>
    <w:rsid w:val="00FC028B"/>
    <w:rsid w:val="00FC32D7"/>
    <w:rsid w:val="00FC351C"/>
    <w:rsid w:val="00FC4D9C"/>
    <w:rsid w:val="00FC5A4B"/>
    <w:rsid w:val="00FC6DF7"/>
    <w:rsid w:val="00FD0491"/>
    <w:rsid w:val="00FD257C"/>
    <w:rsid w:val="00FD26DB"/>
    <w:rsid w:val="00FD3309"/>
    <w:rsid w:val="00FD4B61"/>
    <w:rsid w:val="00FD6DD0"/>
    <w:rsid w:val="00FD76C4"/>
    <w:rsid w:val="00FE289E"/>
    <w:rsid w:val="00FE33BC"/>
    <w:rsid w:val="00FE4A70"/>
    <w:rsid w:val="00FF0F36"/>
    <w:rsid w:val="00FF498C"/>
    <w:rsid w:val="00FF50F8"/>
    <w:rsid w:val="00FF52BB"/>
    <w:rsid w:val="00FF5E78"/>
    <w:rsid w:val="00FF6990"/>
    <w:rsid w:val="00FF7641"/>
    <w:rsid w:val="00FF7B7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link w:val="Heading1Char"/>
    <w:uiPriority w:val="9"/>
    <w:qFormat/>
    <w:rsid w:val="00124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3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imes-Roman" w:hAnsi="Times-Roman"/>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1">
    <w:name w:val="Plain Table 41"/>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3E35D9"/>
    <w:pPr>
      <w:numPr>
        <w:numId w:val="5"/>
      </w:numPr>
      <w:spacing w:after="200" w:line="276" w:lineRule="auto"/>
      <w:contextualSpacing/>
      <w:jc w:val="left"/>
    </w:pPr>
    <w:rPr>
      <w:rFonts w:eastAsiaTheme="minorHAnsi"/>
      <w:b/>
      <w:color w:val="auto"/>
      <w:szCs w:val="24"/>
      <w:lang w:eastAsia="en-US"/>
    </w:rPr>
  </w:style>
  <w:style w:type="character" w:customStyle="1" w:styleId="Heading2Char">
    <w:name w:val="Heading 2 Char"/>
    <w:basedOn w:val="DefaultParagraphFont"/>
    <w:link w:val="Heading2"/>
    <w:uiPriority w:val="9"/>
    <w:rsid w:val="003E35D9"/>
    <w:rPr>
      <w:rFonts w:asciiTheme="majorHAnsi" w:eastAsiaTheme="majorEastAsia" w:hAnsiTheme="majorHAnsi" w:cstheme="majorBidi"/>
      <w:b/>
      <w:bCs/>
      <w:color w:val="4F81BD" w:themeColor="accent1"/>
      <w:sz w:val="26"/>
      <w:szCs w:val="26"/>
      <w:lang w:eastAsia="de-DE"/>
    </w:rPr>
  </w:style>
  <w:style w:type="character" w:styleId="FootnoteReference">
    <w:name w:val="footnote reference"/>
    <w:basedOn w:val="DefaultParagraphFont"/>
    <w:uiPriority w:val="99"/>
    <w:semiHidden/>
    <w:unhideWhenUsed/>
    <w:rsid w:val="003B5D05"/>
    <w:rPr>
      <w:vertAlign w:val="superscript"/>
    </w:rPr>
  </w:style>
  <w:style w:type="paragraph" w:customStyle="1" w:styleId="ydp92b6397cmdpi17abstract">
    <w:name w:val="ydp92b6397cmdpi17abstract"/>
    <w:basedOn w:val="Normal"/>
    <w:rsid w:val="00E74788"/>
    <w:pPr>
      <w:spacing w:before="100" w:beforeAutospacing="1" w:after="100" w:afterAutospacing="1" w:line="240" w:lineRule="auto"/>
      <w:jc w:val="left"/>
    </w:pPr>
    <w:rPr>
      <w:color w:val="auto"/>
      <w:szCs w:val="24"/>
      <w:lang w:eastAsia="zh-CN"/>
    </w:rPr>
  </w:style>
  <w:style w:type="paragraph" w:customStyle="1" w:styleId="ydp92b6397cmdpi18keywords">
    <w:name w:val="ydp92b6397cmdpi18keywords"/>
    <w:basedOn w:val="Normal"/>
    <w:rsid w:val="00E74788"/>
    <w:pPr>
      <w:spacing w:before="100" w:beforeAutospacing="1" w:after="100" w:afterAutospacing="1" w:line="240" w:lineRule="auto"/>
      <w:jc w:val="left"/>
    </w:pPr>
    <w:rPr>
      <w:color w:val="auto"/>
      <w:szCs w:val="24"/>
      <w:lang w:eastAsia="zh-CN"/>
    </w:rPr>
  </w:style>
  <w:style w:type="character" w:styleId="CommentReference">
    <w:name w:val="annotation reference"/>
    <w:basedOn w:val="DefaultParagraphFont"/>
    <w:uiPriority w:val="99"/>
    <w:semiHidden/>
    <w:unhideWhenUsed/>
    <w:rsid w:val="000B06F7"/>
    <w:rPr>
      <w:sz w:val="16"/>
      <w:szCs w:val="16"/>
    </w:rPr>
  </w:style>
  <w:style w:type="paragraph" w:styleId="CommentText">
    <w:name w:val="annotation text"/>
    <w:basedOn w:val="Normal"/>
    <w:link w:val="CommentTextChar"/>
    <w:uiPriority w:val="99"/>
    <w:semiHidden/>
    <w:unhideWhenUsed/>
    <w:rsid w:val="000B06F7"/>
    <w:pPr>
      <w:spacing w:line="240" w:lineRule="auto"/>
    </w:pPr>
    <w:rPr>
      <w:sz w:val="20"/>
    </w:rPr>
  </w:style>
  <w:style w:type="character" w:customStyle="1" w:styleId="CommentTextChar">
    <w:name w:val="Comment Text Char"/>
    <w:basedOn w:val="DefaultParagraphFont"/>
    <w:link w:val="CommentText"/>
    <w:uiPriority w:val="99"/>
    <w:semiHidden/>
    <w:rsid w:val="000B06F7"/>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0B06F7"/>
    <w:rPr>
      <w:b/>
      <w:bCs/>
    </w:rPr>
  </w:style>
  <w:style w:type="character" w:customStyle="1" w:styleId="CommentSubjectChar">
    <w:name w:val="Comment Subject Char"/>
    <w:basedOn w:val="CommentTextChar"/>
    <w:link w:val="CommentSubject"/>
    <w:uiPriority w:val="99"/>
    <w:semiHidden/>
    <w:rsid w:val="000B06F7"/>
    <w:rPr>
      <w:rFonts w:ascii="Times New Roman" w:eastAsia="Times New Roman" w:hAnsi="Times New Roman"/>
      <w:b/>
      <w:bCs/>
      <w:color w:val="000000"/>
      <w:lang w:eastAsia="de-DE"/>
    </w:rPr>
  </w:style>
  <w:style w:type="character" w:customStyle="1" w:styleId="tlid-translation">
    <w:name w:val="tlid-translation"/>
    <w:basedOn w:val="DefaultParagraphFont"/>
    <w:rsid w:val="00912CF3"/>
  </w:style>
  <w:style w:type="character" w:customStyle="1" w:styleId="a">
    <w:name w:val="无"/>
    <w:rsid w:val="0099365D"/>
  </w:style>
  <w:style w:type="numbering" w:customStyle="1" w:styleId="1">
    <w:name w:val="已导入的样式“1”"/>
    <w:rsid w:val="0099365D"/>
    <w:pPr>
      <w:numPr>
        <w:numId w:val="11"/>
      </w:numPr>
    </w:pPr>
  </w:style>
  <w:style w:type="table" w:customStyle="1" w:styleId="TableNormal1">
    <w:name w:val="Table Normal1"/>
    <w:rsid w:val="0099365D"/>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table" w:customStyle="1" w:styleId="LightShading-Accent11">
    <w:name w:val="Light Shading - Accent 11"/>
    <w:basedOn w:val="TableNormal"/>
    <w:uiPriority w:val="60"/>
    <w:rsid w:val="002314C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314C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rsid w:val="00480A63"/>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paragraph" w:customStyle="1" w:styleId="Char">
    <w:name w:val="Char"/>
    <w:basedOn w:val="Normal"/>
    <w:rsid w:val="009031A6"/>
    <w:pPr>
      <w:spacing w:after="160" w:line="240" w:lineRule="exact"/>
      <w:jc w:val="left"/>
    </w:pPr>
    <w:rPr>
      <w:rFonts w:ascii="Arial" w:hAnsi="Arial" w:cs="Verdana"/>
      <w:b/>
      <w:color w:val="auto"/>
      <w:szCs w:val="24"/>
      <w:lang w:eastAsia="en-US"/>
    </w:rPr>
  </w:style>
  <w:style w:type="character" w:customStyle="1" w:styleId="tgt">
    <w:name w:val="tgt"/>
    <w:basedOn w:val="DefaultParagraphFont"/>
    <w:rsid w:val="00830342"/>
  </w:style>
  <w:style w:type="paragraph" w:customStyle="1" w:styleId="Char1">
    <w:name w:val="Char1"/>
    <w:basedOn w:val="Normal"/>
    <w:rsid w:val="00F55E0A"/>
    <w:pPr>
      <w:spacing w:after="160" w:line="240" w:lineRule="exact"/>
      <w:jc w:val="left"/>
    </w:pPr>
    <w:rPr>
      <w:rFonts w:ascii="Arial" w:hAnsi="Arial" w:cs="Verdana"/>
      <w:b/>
      <w:color w:val="auto"/>
      <w:szCs w:val="24"/>
      <w:lang w:eastAsia="en-US"/>
    </w:rPr>
  </w:style>
  <w:style w:type="character" w:customStyle="1" w:styleId="highlight">
    <w:name w:val="highlight"/>
    <w:basedOn w:val="DefaultParagraphFont"/>
    <w:rsid w:val="00EF5C35"/>
  </w:style>
  <w:style w:type="paragraph" w:styleId="Caption">
    <w:name w:val="caption"/>
    <w:basedOn w:val="Normal"/>
    <w:next w:val="Normal"/>
    <w:uiPriority w:val="35"/>
    <w:unhideWhenUsed/>
    <w:qFormat/>
    <w:rsid w:val="007C1939"/>
    <w:pPr>
      <w:spacing w:after="200" w:line="240" w:lineRule="auto"/>
    </w:pPr>
    <w:rPr>
      <w:b/>
      <w:bCs/>
      <w:color w:val="4F81BD" w:themeColor="accent1"/>
      <w:sz w:val="18"/>
      <w:szCs w:val="18"/>
    </w:rPr>
  </w:style>
  <w:style w:type="paragraph" w:customStyle="1" w:styleId="ydp6e93bfd5msonormal">
    <w:name w:val="ydp6e93bfd5msonormal"/>
    <w:basedOn w:val="Normal"/>
    <w:rsid w:val="00717891"/>
    <w:pPr>
      <w:spacing w:before="100" w:beforeAutospacing="1" w:after="100" w:afterAutospacing="1" w:line="240" w:lineRule="auto"/>
      <w:jc w:val="left"/>
    </w:pPr>
    <w:rPr>
      <w:color w:val="auto"/>
      <w:szCs w:val="24"/>
      <w:lang w:eastAsia="zh-CN"/>
    </w:rPr>
  </w:style>
  <w:style w:type="paragraph" w:styleId="DocumentMap">
    <w:name w:val="Document Map"/>
    <w:basedOn w:val="Normal"/>
    <w:link w:val="DocumentMapChar"/>
    <w:uiPriority w:val="99"/>
    <w:semiHidden/>
    <w:unhideWhenUsed/>
    <w:rsid w:val="00F51AB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1ABD"/>
    <w:rPr>
      <w:rFonts w:ascii="Tahoma" w:eastAsia="Times New Roman" w:hAnsi="Tahoma" w:cs="Tahoma"/>
      <w:color w:val="000000"/>
      <w:sz w:val="16"/>
      <w:szCs w:val="16"/>
      <w:lang w:eastAsia="de-DE"/>
    </w:rPr>
  </w:style>
  <w:style w:type="character" w:customStyle="1" w:styleId="Heading1Char">
    <w:name w:val="Heading 1 Char"/>
    <w:basedOn w:val="DefaultParagraphFont"/>
    <w:link w:val="Heading1"/>
    <w:uiPriority w:val="9"/>
    <w:rsid w:val="001249C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r="http://schemas.openxmlformats.org/officeDocument/2006/relationships" xmlns:w="http://schemas.openxmlformats.org/wordprocessingml/2006/main">
  <w:divs>
    <w:div w:id="13041927">
      <w:bodyDiv w:val="1"/>
      <w:marLeft w:val="0"/>
      <w:marRight w:val="0"/>
      <w:marTop w:val="0"/>
      <w:marBottom w:val="0"/>
      <w:divBdr>
        <w:top w:val="none" w:sz="0" w:space="0" w:color="auto"/>
        <w:left w:val="none" w:sz="0" w:space="0" w:color="auto"/>
        <w:bottom w:val="none" w:sz="0" w:space="0" w:color="auto"/>
        <w:right w:val="none" w:sz="0" w:space="0" w:color="auto"/>
      </w:divBdr>
      <w:divsChild>
        <w:div w:id="33121941">
          <w:marLeft w:val="0"/>
          <w:marRight w:val="0"/>
          <w:marTop w:val="0"/>
          <w:marBottom w:val="0"/>
          <w:divBdr>
            <w:top w:val="none" w:sz="0" w:space="0" w:color="auto"/>
            <w:left w:val="none" w:sz="0" w:space="0" w:color="auto"/>
            <w:bottom w:val="none" w:sz="0" w:space="0" w:color="auto"/>
            <w:right w:val="none" w:sz="0" w:space="0" w:color="auto"/>
          </w:divBdr>
          <w:divsChild>
            <w:div w:id="998771133">
              <w:marLeft w:val="0"/>
              <w:marRight w:val="0"/>
              <w:marTop w:val="0"/>
              <w:marBottom w:val="0"/>
              <w:divBdr>
                <w:top w:val="none" w:sz="0" w:space="0" w:color="auto"/>
                <w:left w:val="none" w:sz="0" w:space="0" w:color="auto"/>
                <w:bottom w:val="none" w:sz="0" w:space="0" w:color="auto"/>
                <w:right w:val="none" w:sz="0" w:space="0" w:color="auto"/>
              </w:divBdr>
            </w:div>
            <w:div w:id="833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guohua@caas.cn"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tesfay@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mailto:liuguohua@caas.c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ytesfay@yahoo.com" TargetMode="External"/><Relationship Id="rId14" Type="http://schemas.openxmlformats.org/officeDocument/2006/relationships/image" Target="media/image2.wmf"/><Relationship Id="rId22"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F708-3664-4BE1-A970-4C4461B2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Template>
  <TotalTime>1674</TotalTime>
  <Pages>29</Pages>
  <Words>22815</Words>
  <Characters>130049</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40</cp:revision>
  <cp:lastPrinted>2020-08-08T08:17:00Z</cp:lastPrinted>
  <dcterms:created xsi:type="dcterms:W3CDTF">2020-06-27T13:04:00Z</dcterms:created>
  <dcterms:modified xsi:type="dcterms:W3CDTF">2020-08-08T09:28:00Z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http://www.zotero.org/styles/animal-feed-science-and-technology</vt:lpwstr>
  </property>
  <property fmtid="{D5CDD505-2E9C-101B-9397-08002B2CF9AE}" pid="9" name="Mendeley Recent Style Name 3_1">
    <vt:lpwstr>Animal Feed Science and Technology</vt:lpwstr>
  </property>
  <property fmtid="{D5CDD505-2E9C-101B-9397-08002B2CF9AE}" pid="10" name="Mendeley Recent Style Id 4_1">
    <vt:lpwstr>http://www.zotero.org/styles/animals</vt:lpwstr>
  </property>
  <property fmtid="{D5CDD505-2E9C-101B-9397-08002B2CF9AE}" pid="11" name="Mendeley Recent Style Name 4_1">
    <vt:lpwstr>Animals</vt:lpwstr>
  </property>
  <property fmtid="{D5CDD505-2E9C-101B-9397-08002B2CF9AE}" pid="12" name="Mendeley Recent Style Id 5_1">
    <vt:lpwstr>http://www.zotero.org/styles/elsevier-harvard-without-titles</vt:lpwstr>
  </property>
  <property fmtid="{D5CDD505-2E9C-101B-9397-08002B2CF9AE}" pid="13" name="Mendeley Recent Style Name 5_1">
    <vt:lpwstr>Elsevier - Harvard (without titles)</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dfbc8c09-d2b5-38b2-ba30-ffdf46500b8f</vt:lpwstr>
  </property>
  <property fmtid="{D5CDD505-2E9C-101B-9397-08002B2CF9AE}" pid="24" name="Mendeley Citation Style_1">
    <vt:lpwstr>http://www.zotero.org/styles/american-sociological-association</vt:lpwstr>
  </property>
  <property fmtid="{D5CDD505-2E9C-101B-9397-08002B2CF9AE}" pid="25" name="MTWinEqns">
    <vt:bool>true</vt:bool>
  </property>
</Properties>
</file>