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5B" w:rsidRPr="000C3750" w:rsidRDefault="00901E5B" w:rsidP="002B78A6">
      <w:pPr>
        <w:pStyle w:val="CommentText"/>
        <w:rPr>
          <w:rFonts w:ascii="Times New Roman" w:hAnsi="Times New Roman"/>
          <w:b/>
          <w:sz w:val="24"/>
          <w:szCs w:val="24"/>
        </w:rPr>
      </w:pPr>
      <w:r w:rsidRPr="000C3750">
        <w:rPr>
          <w:rFonts w:ascii="Times New Roman" w:hAnsi="Times New Roman"/>
          <w:b/>
          <w:sz w:val="24"/>
          <w:szCs w:val="24"/>
        </w:rPr>
        <w:t>Effects of phosphate fertilizer and lime on selected soil chemical properties, yield and grain quality of malt barley (</w:t>
      </w:r>
      <w:proofErr w:type="spellStart"/>
      <w:r w:rsidRPr="000C3750">
        <w:rPr>
          <w:rFonts w:ascii="Times New Roman" w:hAnsi="Times New Roman"/>
          <w:b/>
          <w:i/>
          <w:sz w:val="24"/>
          <w:szCs w:val="24"/>
        </w:rPr>
        <w:t>Hordeum</w:t>
      </w:r>
      <w:proofErr w:type="spellEnd"/>
      <w:r w:rsidR="000314A3" w:rsidRPr="000C3750">
        <w:rPr>
          <w:rFonts w:ascii="Times New Roman" w:hAnsi="Times New Roman"/>
          <w:b/>
          <w:i/>
          <w:sz w:val="24"/>
          <w:szCs w:val="24"/>
        </w:rPr>
        <w:t xml:space="preserve"> </w:t>
      </w:r>
      <w:proofErr w:type="spellStart"/>
      <w:r w:rsidRPr="000C3750">
        <w:rPr>
          <w:rFonts w:ascii="Times New Roman" w:hAnsi="Times New Roman"/>
          <w:b/>
          <w:i/>
          <w:sz w:val="24"/>
          <w:szCs w:val="24"/>
        </w:rPr>
        <w:t>vulgare</w:t>
      </w:r>
      <w:proofErr w:type="spellEnd"/>
      <w:r w:rsidRPr="000C3750">
        <w:rPr>
          <w:rFonts w:ascii="Times New Roman" w:hAnsi="Times New Roman"/>
          <w:b/>
          <w:sz w:val="24"/>
          <w:szCs w:val="24"/>
        </w:rPr>
        <w:t xml:space="preserve"> L.</w:t>
      </w:r>
      <w:r w:rsidRPr="000C3750">
        <w:rPr>
          <w:rFonts w:ascii="Times New Roman" w:hAnsi="Times New Roman"/>
          <w:sz w:val="24"/>
          <w:szCs w:val="24"/>
        </w:rPr>
        <w:t>)</w:t>
      </w:r>
      <w:r w:rsidR="000314A3" w:rsidRPr="000C3750">
        <w:rPr>
          <w:rFonts w:ascii="Times New Roman" w:hAnsi="Times New Roman"/>
          <w:b/>
          <w:sz w:val="24"/>
          <w:szCs w:val="24"/>
        </w:rPr>
        <w:t xml:space="preserve"> on acid soils in Southeast Ethiopia</w:t>
      </w:r>
    </w:p>
    <w:p w:rsidR="00901E5B" w:rsidRPr="000C3750" w:rsidRDefault="00901E5B" w:rsidP="00612316">
      <w:pPr>
        <w:pStyle w:val="Default"/>
        <w:spacing w:before="120"/>
        <w:jc w:val="center"/>
        <w:rPr>
          <w:rFonts w:ascii="Times New Roman" w:hAnsi="Times New Roman" w:cs="Times New Roman"/>
          <w:i/>
          <w:color w:val="auto"/>
        </w:rPr>
      </w:pPr>
      <w:r w:rsidRPr="000C3750">
        <w:rPr>
          <w:rFonts w:ascii="Times New Roman" w:hAnsi="Times New Roman" w:cs="Times New Roman"/>
          <w:i/>
          <w:color w:val="auto"/>
        </w:rPr>
        <w:t>Belay Yebo</w:t>
      </w:r>
      <w:r w:rsidRPr="000C3750">
        <w:rPr>
          <w:rFonts w:ascii="Times New Roman" w:hAnsi="Times New Roman" w:cs="Times New Roman"/>
          <w:i/>
          <w:color w:val="auto"/>
          <w:vertAlign w:val="superscript"/>
        </w:rPr>
        <w:t>1, 4,*</w:t>
      </w:r>
      <w:r w:rsidRPr="000C3750">
        <w:rPr>
          <w:rFonts w:ascii="Times New Roman" w:hAnsi="Times New Roman" w:cs="Times New Roman"/>
          <w:i/>
          <w:color w:val="auto"/>
        </w:rPr>
        <w:t xml:space="preserve">, </w:t>
      </w:r>
      <w:proofErr w:type="spellStart"/>
      <w:r w:rsidRPr="000C3750">
        <w:rPr>
          <w:rFonts w:ascii="Times New Roman" w:hAnsi="Times New Roman" w:cs="Times New Roman"/>
          <w:i/>
          <w:color w:val="auto"/>
        </w:rPr>
        <w:t>Tamado</w:t>
      </w:r>
      <w:proofErr w:type="spellEnd"/>
      <w:r w:rsidRPr="000C3750">
        <w:rPr>
          <w:rFonts w:ascii="Times New Roman" w:hAnsi="Times New Roman" w:cs="Times New Roman"/>
          <w:i/>
          <w:color w:val="auto"/>
        </w:rPr>
        <w:t xml:space="preserve"> Tana</w:t>
      </w:r>
      <w:r w:rsidRPr="000C3750">
        <w:rPr>
          <w:rFonts w:ascii="Times New Roman" w:hAnsi="Times New Roman" w:cs="Times New Roman"/>
          <w:i/>
          <w:color w:val="auto"/>
          <w:vertAlign w:val="superscript"/>
        </w:rPr>
        <w:t>2</w:t>
      </w:r>
      <w:r w:rsidRPr="000C3750">
        <w:rPr>
          <w:rFonts w:ascii="Times New Roman" w:hAnsi="Times New Roman" w:cs="Times New Roman"/>
          <w:i/>
          <w:color w:val="auto"/>
        </w:rPr>
        <w:t xml:space="preserve">, </w:t>
      </w:r>
      <w:proofErr w:type="spellStart"/>
      <w:r w:rsidRPr="000C3750">
        <w:rPr>
          <w:rFonts w:ascii="Times New Roman" w:hAnsi="Times New Roman" w:cs="Times New Roman"/>
          <w:i/>
          <w:color w:val="auto"/>
        </w:rPr>
        <w:t>Wassie</w:t>
      </w:r>
      <w:proofErr w:type="spellEnd"/>
      <w:r w:rsidRPr="000C3750">
        <w:rPr>
          <w:rFonts w:ascii="Times New Roman" w:hAnsi="Times New Roman" w:cs="Times New Roman"/>
          <w:i/>
          <w:color w:val="auto"/>
        </w:rPr>
        <w:t xml:space="preserve"> Haile</w:t>
      </w:r>
      <w:r w:rsidRPr="000C3750">
        <w:rPr>
          <w:rFonts w:ascii="Times New Roman" w:hAnsi="Times New Roman" w:cs="Times New Roman"/>
          <w:i/>
          <w:color w:val="auto"/>
          <w:vertAlign w:val="superscript"/>
        </w:rPr>
        <w:t>3</w:t>
      </w:r>
      <w:r w:rsidRPr="000C3750">
        <w:rPr>
          <w:rFonts w:ascii="Times New Roman" w:hAnsi="Times New Roman" w:cs="Times New Roman"/>
          <w:i/>
          <w:color w:val="auto"/>
        </w:rPr>
        <w:t xml:space="preserve">, </w:t>
      </w:r>
      <w:proofErr w:type="spellStart"/>
      <w:r w:rsidRPr="000C3750">
        <w:rPr>
          <w:rFonts w:ascii="Times New Roman" w:hAnsi="Times New Roman" w:cs="Times New Roman"/>
          <w:i/>
          <w:color w:val="auto"/>
        </w:rPr>
        <w:t>Fanuel</w:t>
      </w:r>
      <w:proofErr w:type="spellEnd"/>
      <w:r w:rsidRPr="000C3750">
        <w:rPr>
          <w:rFonts w:ascii="Times New Roman" w:hAnsi="Times New Roman" w:cs="Times New Roman"/>
          <w:i/>
          <w:color w:val="auto"/>
        </w:rPr>
        <w:t xml:space="preserve"> Laekemariam</w:t>
      </w:r>
      <w:r w:rsidRPr="000C3750">
        <w:rPr>
          <w:rFonts w:ascii="Times New Roman" w:hAnsi="Times New Roman" w:cs="Times New Roman"/>
          <w:i/>
          <w:color w:val="auto"/>
          <w:vertAlign w:val="superscript"/>
        </w:rPr>
        <w:t xml:space="preserve">1 </w:t>
      </w:r>
      <w:r w:rsidRPr="000C3750">
        <w:rPr>
          <w:rFonts w:ascii="Times New Roman" w:hAnsi="Times New Roman" w:cs="Times New Roman"/>
          <w:i/>
          <w:color w:val="auto"/>
        </w:rPr>
        <w:t xml:space="preserve">and </w:t>
      </w:r>
      <w:proofErr w:type="spellStart"/>
      <w:r w:rsidRPr="000C3750">
        <w:rPr>
          <w:rFonts w:ascii="Times New Roman" w:hAnsi="Times New Roman" w:cs="Times New Roman"/>
          <w:i/>
          <w:color w:val="auto"/>
        </w:rPr>
        <w:t>Yibekal</w:t>
      </w:r>
      <w:proofErr w:type="spellEnd"/>
      <w:r w:rsidRPr="000C3750">
        <w:rPr>
          <w:rFonts w:ascii="Times New Roman" w:hAnsi="Times New Roman" w:cs="Times New Roman"/>
          <w:i/>
          <w:color w:val="auto"/>
        </w:rPr>
        <w:t xml:space="preserve"> Abebe</w:t>
      </w:r>
      <w:r w:rsidRPr="000C3750">
        <w:rPr>
          <w:rFonts w:ascii="Times New Roman" w:hAnsi="Times New Roman" w:cs="Times New Roman"/>
          <w:i/>
          <w:color w:val="auto"/>
          <w:vertAlign w:val="superscript"/>
        </w:rPr>
        <w:t>4</w:t>
      </w:r>
    </w:p>
    <w:p w:rsidR="00901E5B" w:rsidRPr="000C3750" w:rsidRDefault="00901E5B" w:rsidP="00612316">
      <w:pPr>
        <w:pStyle w:val="Default"/>
        <w:spacing w:before="120"/>
        <w:jc w:val="center"/>
        <w:rPr>
          <w:rFonts w:ascii="Times New Roman" w:hAnsi="Times New Roman" w:cs="Times New Roman"/>
          <w:color w:val="auto"/>
        </w:rPr>
      </w:pPr>
      <w:r w:rsidRPr="000C3750">
        <w:rPr>
          <w:rFonts w:ascii="Times New Roman" w:hAnsi="Times New Roman" w:cs="Times New Roman"/>
          <w:color w:val="auto"/>
          <w:vertAlign w:val="superscript"/>
        </w:rPr>
        <w:t>1</w:t>
      </w:r>
      <w:r w:rsidR="007934C4" w:rsidRPr="000C3750">
        <w:rPr>
          <w:rFonts w:ascii="Times New Roman" w:hAnsi="Times New Roman" w:cs="Times New Roman"/>
          <w:color w:val="auto"/>
        </w:rPr>
        <w:t xml:space="preserve"> Department Plant Sciences, Wolaita Sodo University, </w:t>
      </w:r>
      <w:proofErr w:type="spellStart"/>
      <w:r w:rsidRPr="000C3750">
        <w:rPr>
          <w:rFonts w:ascii="Times New Roman" w:hAnsi="Times New Roman" w:cs="Times New Roman"/>
          <w:color w:val="auto"/>
        </w:rPr>
        <w:t>P.O.Box</w:t>
      </w:r>
      <w:proofErr w:type="spellEnd"/>
      <w:r w:rsidRPr="000C3750">
        <w:rPr>
          <w:rFonts w:ascii="Times New Roman" w:hAnsi="Times New Roman" w:cs="Times New Roman"/>
          <w:color w:val="auto"/>
        </w:rPr>
        <w:t xml:space="preserve"> 138, Wolaita Sodo, Ethiopia</w:t>
      </w:r>
    </w:p>
    <w:p w:rsidR="00901E5B" w:rsidRPr="000C3750" w:rsidRDefault="00901E5B" w:rsidP="00612316">
      <w:pPr>
        <w:pStyle w:val="Default"/>
        <w:spacing w:before="120"/>
        <w:jc w:val="center"/>
        <w:rPr>
          <w:rFonts w:ascii="Times New Roman" w:hAnsi="Times New Roman" w:cs="Times New Roman"/>
          <w:color w:val="auto"/>
        </w:rPr>
      </w:pPr>
      <w:r w:rsidRPr="000C3750">
        <w:rPr>
          <w:rFonts w:ascii="Times New Roman" w:hAnsi="Times New Roman" w:cs="Times New Roman"/>
          <w:color w:val="auto"/>
          <w:vertAlign w:val="superscript"/>
        </w:rPr>
        <w:t>2</w:t>
      </w:r>
      <w:r w:rsidRPr="000C3750">
        <w:rPr>
          <w:rFonts w:ascii="Times New Roman" w:hAnsi="Times New Roman" w:cs="Times New Roman"/>
          <w:color w:val="auto"/>
        </w:rPr>
        <w:t xml:space="preserve">Department of Crop Production, Faculty of Agriculture, University of </w:t>
      </w:r>
      <w:proofErr w:type="spellStart"/>
      <w:r w:rsidRPr="000C3750">
        <w:rPr>
          <w:rFonts w:ascii="Times New Roman" w:hAnsi="Times New Roman" w:cs="Times New Roman"/>
          <w:color w:val="auto"/>
        </w:rPr>
        <w:t>Eswatini</w:t>
      </w:r>
      <w:proofErr w:type="spellEnd"/>
      <w:r w:rsidRPr="000C3750">
        <w:rPr>
          <w:rFonts w:ascii="Times New Roman" w:hAnsi="Times New Roman" w:cs="Times New Roman"/>
          <w:color w:val="auto"/>
        </w:rPr>
        <w:t xml:space="preserve">, P.O. </w:t>
      </w:r>
      <w:proofErr w:type="spellStart"/>
      <w:r w:rsidRPr="000C3750">
        <w:rPr>
          <w:rFonts w:ascii="Times New Roman" w:hAnsi="Times New Roman" w:cs="Times New Roman"/>
          <w:color w:val="auto"/>
        </w:rPr>
        <w:t>Luyengo,M</w:t>
      </w:r>
      <w:proofErr w:type="spellEnd"/>
      <w:r w:rsidR="004962E0" w:rsidRPr="000C3750">
        <w:rPr>
          <w:rFonts w:ascii="Times New Roman" w:hAnsi="Times New Roman" w:cs="Times New Roman"/>
          <w:color w:val="auto"/>
        </w:rPr>
        <w:t xml:space="preserve"> 205</w:t>
      </w:r>
      <w:r w:rsidR="00FD5A06" w:rsidRPr="000C3750">
        <w:rPr>
          <w:rFonts w:ascii="Times New Roman" w:hAnsi="Times New Roman" w:cs="Times New Roman"/>
          <w:i/>
          <w:color w:val="auto"/>
        </w:rPr>
        <w:t xml:space="preserve">, </w:t>
      </w:r>
      <w:proofErr w:type="spellStart"/>
      <w:r w:rsidRPr="000C3750">
        <w:rPr>
          <w:rFonts w:ascii="Times New Roman" w:hAnsi="Times New Roman" w:cs="Times New Roman"/>
          <w:color w:val="auto"/>
        </w:rPr>
        <w:t>Eswatini</w:t>
      </w:r>
      <w:proofErr w:type="spellEnd"/>
    </w:p>
    <w:p w:rsidR="00901E5B" w:rsidRPr="000C3750" w:rsidRDefault="00901E5B" w:rsidP="00612316">
      <w:pPr>
        <w:pStyle w:val="Default"/>
        <w:spacing w:before="120"/>
        <w:jc w:val="center"/>
        <w:rPr>
          <w:rFonts w:ascii="Times New Roman" w:hAnsi="Times New Roman" w:cs="Times New Roman"/>
          <w:color w:val="auto"/>
        </w:rPr>
      </w:pPr>
      <w:r w:rsidRPr="000C3750">
        <w:rPr>
          <w:rFonts w:ascii="Times New Roman" w:hAnsi="Times New Roman" w:cs="Times New Roman"/>
          <w:color w:val="auto"/>
          <w:vertAlign w:val="superscript"/>
        </w:rPr>
        <w:t>3</w:t>
      </w:r>
      <w:r w:rsidRPr="000C3750">
        <w:rPr>
          <w:rFonts w:ascii="Times New Roman" w:hAnsi="Times New Roman" w:cs="Times New Roman"/>
          <w:color w:val="auto"/>
        </w:rPr>
        <w:t xml:space="preserve">Hawassa University, P.O. Box 05, </w:t>
      </w:r>
      <w:proofErr w:type="spellStart"/>
      <w:r w:rsidRPr="000C3750">
        <w:rPr>
          <w:rFonts w:ascii="Times New Roman" w:hAnsi="Times New Roman" w:cs="Times New Roman"/>
          <w:color w:val="auto"/>
        </w:rPr>
        <w:t>Hawassa</w:t>
      </w:r>
      <w:proofErr w:type="spellEnd"/>
      <w:r w:rsidRPr="000C3750">
        <w:rPr>
          <w:rFonts w:ascii="Times New Roman" w:hAnsi="Times New Roman" w:cs="Times New Roman"/>
          <w:color w:val="auto"/>
        </w:rPr>
        <w:t>, Ethiopia</w:t>
      </w:r>
    </w:p>
    <w:p w:rsidR="00901E5B" w:rsidRPr="000C3750" w:rsidRDefault="00901E5B" w:rsidP="00612316">
      <w:pPr>
        <w:pStyle w:val="Default"/>
        <w:spacing w:before="120"/>
        <w:jc w:val="center"/>
        <w:rPr>
          <w:rFonts w:ascii="Times New Roman" w:hAnsi="Times New Roman" w:cs="Times New Roman"/>
          <w:color w:val="auto"/>
        </w:rPr>
      </w:pPr>
      <w:r w:rsidRPr="000C3750">
        <w:rPr>
          <w:rFonts w:ascii="Times New Roman" w:hAnsi="Times New Roman" w:cs="Times New Roman"/>
          <w:color w:val="auto"/>
          <w:vertAlign w:val="superscript"/>
        </w:rPr>
        <w:t>4</w:t>
      </w:r>
      <w:r w:rsidRPr="000C3750">
        <w:rPr>
          <w:rFonts w:ascii="Times New Roman" w:hAnsi="Times New Roman" w:cs="Times New Roman"/>
          <w:color w:val="auto"/>
        </w:rPr>
        <w:t xml:space="preserve">Haramaya University, </w:t>
      </w:r>
      <w:proofErr w:type="spellStart"/>
      <w:r w:rsidRPr="000C3750">
        <w:rPr>
          <w:rFonts w:ascii="Times New Roman" w:hAnsi="Times New Roman" w:cs="Times New Roman"/>
          <w:color w:val="auto"/>
        </w:rPr>
        <w:t>P.O.Box</w:t>
      </w:r>
      <w:proofErr w:type="spellEnd"/>
      <w:r w:rsidRPr="000C3750">
        <w:rPr>
          <w:rFonts w:ascii="Times New Roman" w:hAnsi="Times New Roman" w:cs="Times New Roman"/>
          <w:color w:val="auto"/>
        </w:rPr>
        <w:t xml:space="preserve"> 138, Dire </w:t>
      </w:r>
      <w:proofErr w:type="spellStart"/>
      <w:r w:rsidRPr="000C3750">
        <w:rPr>
          <w:rFonts w:ascii="Times New Roman" w:hAnsi="Times New Roman" w:cs="Times New Roman"/>
          <w:color w:val="auto"/>
        </w:rPr>
        <w:t>Dawa</w:t>
      </w:r>
      <w:proofErr w:type="spellEnd"/>
      <w:r w:rsidRPr="000C3750">
        <w:rPr>
          <w:rFonts w:ascii="Times New Roman" w:hAnsi="Times New Roman" w:cs="Times New Roman"/>
          <w:color w:val="auto"/>
        </w:rPr>
        <w:t>, Ethiopia</w:t>
      </w:r>
    </w:p>
    <w:p w:rsidR="00DA1D38" w:rsidRPr="000C3750" w:rsidRDefault="00901E5B" w:rsidP="00DA1D38">
      <w:pPr>
        <w:spacing w:before="120" w:after="0" w:line="240" w:lineRule="auto"/>
        <w:jc w:val="center"/>
        <w:rPr>
          <w:szCs w:val="24"/>
        </w:rPr>
      </w:pPr>
      <w:r w:rsidRPr="000C3750">
        <w:rPr>
          <w:szCs w:val="24"/>
        </w:rPr>
        <w:t>*Corresponding author:-yayineblen@gmail.com</w:t>
      </w:r>
    </w:p>
    <w:p w:rsidR="00901E5B" w:rsidRPr="000C3750" w:rsidRDefault="00901E5B" w:rsidP="00901E5B">
      <w:pPr>
        <w:pStyle w:val="Heading3"/>
        <w:spacing w:line="360" w:lineRule="auto"/>
        <w:jc w:val="both"/>
      </w:pPr>
      <w:r w:rsidRPr="000C3750">
        <w:t>ABSTRACT</w:t>
      </w:r>
    </w:p>
    <w:p w:rsidR="007B04DC" w:rsidRPr="000C3750" w:rsidRDefault="00901E5B" w:rsidP="00901E5B">
      <w:pPr>
        <w:widowControl w:val="0"/>
        <w:autoSpaceDE w:val="0"/>
        <w:autoSpaceDN w:val="0"/>
        <w:adjustRightInd w:val="0"/>
        <w:spacing w:after="0" w:line="240" w:lineRule="auto"/>
        <w:jc w:val="both"/>
        <w:rPr>
          <w:i/>
          <w:szCs w:val="24"/>
        </w:rPr>
      </w:pPr>
      <w:r>
        <w:rPr>
          <w:i/>
        </w:rPr>
        <w:t xml:space="preserve">Soil acidity and associated low availability of soil phosphorus are major constraints that limit the productivity and quality of malt barley in the highlands of Ethiopia. A field experiment was conducted at Bekoji and Kofele to determine the effects of lime and phosphorus fertilizer on agronomic and economic performance, the grain quality of malt barley, and selected soil chemical properties. </w:t>
      </w:r>
      <w:r>
        <w:rPr>
          <w:i/>
          <w:szCs w:val="24"/>
        </w:rPr>
        <w:t>Factorial combinations of four phosphorus fertilizer rates (0, 10, 20 and 30 kg P ha</w:t>
      </w:r>
      <w:r>
        <w:rPr>
          <w:i/>
          <w:szCs w:val="24"/>
          <w:vertAlign w:val="superscript"/>
        </w:rPr>
        <w:t>-1</w:t>
      </w:r>
      <w:r>
        <w:rPr>
          <w:i/>
          <w:szCs w:val="24"/>
        </w:rPr>
        <w:t>) and three lime rates (0, 1.5 and 3 ton ha</w:t>
      </w:r>
      <w:r>
        <w:rPr>
          <w:i/>
          <w:szCs w:val="24"/>
          <w:vertAlign w:val="superscript"/>
        </w:rPr>
        <w:t>-1</w:t>
      </w:r>
      <w:r>
        <w:rPr>
          <w:i/>
          <w:szCs w:val="24"/>
        </w:rPr>
        <w:t>) were laid out in randomized complete block design with three replications. The results revealed significant effects of lime and location interaction on plant height, number of tillers per plant, spike length, grain yield biomass yield, moisture content, thousand grain weight and grain plumpness of malt barley. The effect of the lime interaction by location was significant on the sieve test, thousand grain weight, exchangeable acidity, and CEC. The maximum grain yield (5tha</w:t>
      </w:r>
      <w:r>
        <w:rPr>
          <w:i/>
          <w:szCs w:val="24"/>
          <w:vertAlign w:val="superscript"/>
        </w:rPr>
        <w:t>-1</w:t>
      </w:r>
      <w:r>
        <w:rPr>
          <w:i/>
          <w:szCs w:val="24"/>
        </w:rPr>
        <w:t>) and dry biomass (12.8tha</w:t>
      </w:r>
      <w:r>
        <w:rPr>
          <w:i/>
          <w:szCs w:val="24"/>
          <w:vertAlign w:val="superscript"/>
        </w:rPr>
        <w:t>-1</w:t>
      </w:r>
      <w:r>
        <w:rPr>
          <w:i/>
          <w:szCs w:val="24"/>
        </w:rPr>
        <w:t>) were obtained from application of 30 kgha</w:t>
      </w:r>
      <w:r>
        <w:rPr>
          <w:i/>
          <w:szCs w:val="24"/>
          <w:vertAlign w:val="superscript"/>
        </w:rPr>
        <w:t>-1</w:t>
      </w:r>
      <w:r>
        <w:rPr>
          <w:i/>
          <w:szCs w:val="24"/>
        </w:rPr>
        <w:t xml:space="preserve"> P and 3tha</w:t>
      </w:r>
      <w:r>
        <w:rPr>
          <w:i/>
          <w:szCs w:val="24"/>
          <w:vertAlign w:val="superscript"/>
        </w:rPr>
        <w:t>-1</w:t>
      </w:r>
      <w:r>
        <w:rPr>
          <w:i/>
          <w:szCs w:val="24"/>
        </w:rPr>
        <w:t xml:space="preserve"> of lime. Barley yield, plant height, spike length, thousands of grain weight, exchangeable acidity, CEC, and thousands of grain weights were significantly affected by the interaction effects of lime by location. All quality parameters were significantly affected due to the main effect of location. The main effect of P and lime affected plumpness and thousand grain weights. </w:t>
      </w:r>
      <w:r>
        <w:rPr>
          <w:i/>
        </w:rPr>
        <w:t xml:space="preserve">The phosphate </w:t>
      </w:r>
      <w:r>
        <w:rPr>
          <w:i/>
          <w:szCs w:val="24"/>
        </w:rPr>
        <w:t>applied from zero to 30 kg ha</w:t>
      </w:r>
      <w:r>
        <w:rPr>
          <w:i/>
          <w:szCs w:val="24"/>
          <w:vertAlign w:val="superscript"/>
        </w:rPr>
        <w:t>-1</w:t>
      </w:r>
      <w:r>
        <w:rPr>
          <w:i/>
          <w:szCs w:val="24"/>
        </w:rPr>
        <w:t xml:space="preserve"> has significantly increased grain yield from 2.85 to 4.38 ton ha</w:t>
      </w:r>
      <w:r>
        <w:rPr>
          <w:i/>
          <w:szCs w:val="24"/>
          <w:vertAlign w:val="superscript"/>
        </w:rPr>
        <w:t>-1</w:t>
      </w:r>
      <w:r>
        <w:rPr>
          <w:i/>
          <w:szCs w:val="24"/>
        </w:rPr>
        <w:t>. Similarly, lime applied at 1.5 and 3 tonha</w:t>
      </w:r>
      <w:r>
        <w:rPr>
          <w:i/>
          <w:szCs w:val="24"/>
          <w:vertAlign w:val="superscript"/>
        </w:rPr>
        <w:t>-1</w:t>
      </w:r>
      <w:r>
        <w:rPr>
          <w:i/>
          <w:szCs w:val="24"/>
        </w:rPr>
        <w:t xml:space="preserve"> increased soil pH and yield of malt barley yield, suggesting that it has reclaimed soil acidity. Combined applications of 20 kg P ha</w:t>
      </w:r>
      <w:r>
        <w:rPr>
          <w:i/>
          <w:szCs w:val="24"/>
          <w:vertAlign w:val="superscript"/>
        </w:rPr>
        <w:t xml:space="preserve">-1 </w:t>
      </w:r>
      <w:r>
        <w:rPr>
          <w:i/>
          <w:szCs w:val="24"/>
        </w:rPr>
        <w:t>and 3ton lime ha</w:t>
      </w:r>
      <w:r>
        <w:rPr>
          <w:i/>
          <w:szCs w:val="24"/>
          <w:vertAlign w:val="superscript"/>
        </w:rPr>
        <w:t>-1</w:t>
      </w:r>
      <w:r>
        <w:rPr>
          <w:i/>
          <w:szCs w:val="24"/>
        </w:rPr>
        <w:t xml:space="preserve"> were found to be economically feasible with the highest net benefit (56340 birr ha</w:t>
      </w:r>
      <w:r>
        <w:rPr>
          <w:i/>
          <w:szCs w:val="24"/>
          <w:vertAlign w:val="superscript"/>
        </w:rPr>
        <w:t>-1</w:t>
      </w:r>
      <w:r>
        <w:rPr>
          <w:i/>
          <w:szCs w:val="24"/>
        </w:rPr>
        <w:t>) and marginal rate of return (316.8%).</w:t>
      </w:r>
    </w:p>
    <w:p w:rsidR="00612938" w:rsidRPr="000C3750" w:rsidRDefault="00612938" w:rsidP="00901E5B">
      <w:pPr>
        <w:widowControl w:val="0"/>
        <w:autoSpaceDE w:val="0"/>
        <w:autoSpaceDN w:val="0"/>
        <w:adjustRightInd w:val="0"/>
        <w:spacing w:after="0" w:line="240" w:lineRule="auto"/>
        <w:jc w:val="both"/>
        <w:rPr>
          <w:i/>
          <w:szCs w:val="24"/>
        </w:rPr>
      </w:pPr>
    </w:p>
    <w:p w:rsidR="00901E5B" w:rsidRPr="000C3750" w:rsidRDefault="00901E5B" w:rsidP="00901E5B">
      <w:pPr>
        <w:spacing w:after="0" w:line="360" w:lineRule="auto"/>
        <w:jc w:val="both"/>
        <w:rPr>
          <w:szCs w:val="24"/>
        </w:rPr>
      </w:pPr>
      <w:r w:rsidRPr="000C3750">
        <w:rPr>
          <w:b/>
          <w:szCs w:val="24"/>
        </w:rPr>
        <w:t>Keywords:</w:t>
      </w:r>
      <w:r w:rsidRPr="000C3750">
        <w:rPr>
          <w:szCs w:val="24"/>
        </w:rPr>
        <w:t xml:space="preserve"> Grain protein, grain yield, hectoliter weight, soil acidity</w:t>
      </w:r>
    </w:p>
    <w:p w:rsidR="00901E5B" w:rsidRPr="000C3750" w:rsidRDefault="00901E5B" w:rsidP="00CA176A">
      <w:pPr>
        <w:pStyle w:val="ListParagraph"/>
        <w:numPr>
          <w:ilvl w:val="0"/>
          <w:numId w:val="13"/>
        </w:numPr>
        <w:spacing w:after="0" w:line="360" w:lineRule="auto"/>
        <w:jc w:val="both"/>
        <w:rPr>
          <w:rFonts w:ascii="Times New Roman" w:hAnsi="Times New Roman"/>
          <w:b/>
          <w:sz w:val="24"/>
          <w:szCs w:val="24"/>
        </w:rPr>
      </w:pPr>
      <w:r w:rsidRPr="000C3750">
        <w:rPr>
          <w:rFonts w:ascii="Times New Roman" w:hAnsi="Times New Roman"/>
          <w:b/>
          <w:sz w:val="24"/>
          <w:szCs w:val="24"/>
        </w:rPr>
        <w:t>INTRODUCTION</w:t>
      </w:r>
    </w:p>
    <w:p w:rsidR="00484987" w:rsidRPr="000C3750" w:rsidRDefault="00901E5B" w:rsidP="00CA176A">
      <w:pPr>
        <w:widowControl w:val="0"/>
        <w:autoSpaceDE w:val="0"/>
        <w:autoSpaceDN w:val="0"/>
        <w:adjustRightInd w:val="0"/>
        <w:spacing w:after="0" w:line="360" w:lineRule="auto"/>
        <w:jc w:val="both"/>
        <w:rPr>
          <w:szCs w:val="24"/>
        </w:rPr>
      </w:pPr>
      <w:r w:rsidRPr="000C3750">
        <w:rPr>
          <w:szCs w:val="24"/>
        </w:rPr>
        <w:t>Barley (</w:t>
      </w:r>
      <w:proofErr w:type="spellStart"/>
      <w:r w:rsidRPr="000C3750">
        <w:rPr>
          <w:i/>
          <w:szCs w:val="24"/>
        </w:rPr>
        <w:t>Hordeum</w:t>
      </w:r>
      <w:proofErr w:type="spellEnd"/>
      <w:r w:rsidRPr="000C3750">
        <w:rPr>
          <w:i/>
          <w:szCs w:val="24"/>
        </w:rPr>
        <w:t xml:space="preserve"> </w:t>
      </w:r>
      <w:proofErr w:type="spellStart"/>
      <w:r w:rsidRPr="000C3750">
        <w:rPr>
          <w:i/>
          <w:szCs w:val="24"/>
        </w:rPr>
        <w:t>vulgare</w:t>
      </w:r>
      <w:proofErr w:type="spellEnd"/>
      <w:r w:rsidRPr="000C3750">
        <w:rPr>
          <w:szCs w:val="24"/>
        </w:rPr>
        <w:t xml:space="preserve"> L.) is one of the main food and industrial crops produced in Ethiopia. Barley is the fifth most important cereal as a staple food and an economically important crop in Ethiopia, behind </w:t>
      </w:r>
      <w:proofErr w:type="spellStart"/>
      <w:r w:rsidRPr="000C3750">
        <w:rPr>
          <w:i/>
          <w:szCs w:val="24"/>
        </w:rPr>
        <w:t>teff</w:t>
      </w:r>
      <w:proofErr w:type="spellEnd"/>
      <w:r w:rsidRPr="000C3750">
        <w:rPr>
          <w:szCs w:val="24"/>
        </w:rPr>
        <w:t xml:space="preserve"> (</w:t>
      </w:r>
      <w:proofErr w:type="spellStart"/>
      <w:r w:rsidRPr="000C3750">
        <w:rPr>
          <w:i/>
          <w:szCs w:val="24"/>
        </w:rPr>
        <w:t>Eragrostis</w:t>
      </w:r>
      <w:proofErr w:type="spellEnd"/>
      <w:r w:rsidRPr="000C3750">
        <w:rPr>
          <w:i/>
          <w:szCs w:val="24"/>
        </w:rPr>
        <w:t xml:space="preserve"> </w:t>
      </w:r>
      <w:proofErr w:type="spellStart"/>
      <w:r w:rsidRPr="000C3750">
        <w:rPr>
          <w:i/>
          <w:szCs w:val="24"/>
        </w:rPr>
        <w:t>teff</w:t>
      </w:r>
      <w:proofErr w:type="spellEnd"/>
      <w:r w:rsidRPr="000C3750">
        <w:rPr>
          <w:szCs w:val="24"/>
        </w:rPr>
        <w:t>), maize (</w:t>
      </w:r>
      <w:proofErr w:type="spellStart"/>
      <w:r w:rsidRPr="000C3750">
        <w:rPr>
          <w:i/>
          <w:szCs w:val="24"/>
        </w:rPr>
        <w:t>Zea</w:t>
      </w:r>
      <w:proofErr w:type="spellEnd"/>
      <w:r w:rsidRPr="000C3750">
        <w:rPr>
          <w:i/>
          <w:szCs w:val="24"/>
        </w:rPr>
        <w:t xml:space="preserve"> mays</w:t>
      </w:r>
      <w:r w:rsidRPr="000C3750">
        <w:rPr>
          <w:szCs w:val="24"/>
        </w:rPr>
        <w:t>), sorghum (</w:t>
      </w:r>
      <w:r w:rsidRPr="000C3750">
        <w:rPr>
          <w:i/>
          <w:szCs w:val="24"/>
        </w:rPr>
        <w:t>Sorghum bicolor)</w:t>
      </w:r>
      <w:r w:rsidRPr="000C3750">
        <w:rPr>
          <w:szCs w:val="24"/>
        </w:rPr>
        <w:t xml:space="preserve"> and wheat (</w:t>
      </w:r>
      <w:proofErr w:type="spellStart"/>
      <w:r w:rsidRPr="000C3750">
        <w:rPr>
          <w:i/>
          <w:szCs w:val="24"/>
        </w:rPr>
        <w:t>Triticum</w:t>
      </w:r>
      <w:proofErr w:type="spellEnd"/>
      <w:r w:rsidRPr="000C3750">
        <w:rPr>
          <w:i/>
          <w:szCs w:val="24"/>
        </w:rPr>
        <w:t xml:space="preserve"> </w:t>
      </w:r>
      <w:proofErr w:type="spellStart"/>
      <w:r w:rsidRPr="000C3750">
        <w:rPr>
          <w:i/>
          <w:szCs w:val="24"/>
        </w:rPr>
        <w:t>aestivum</w:t>
      </w:r>
      <w:proofErr w:type="spellEnd"/>
      <w:r w:rsidRPr="000C3750">
        <w:rPr>
          <w:i/>
          <w:szCs w:val="24"/>
        </w:rPr>
        <w:t xml:space="preserve"> L.).</w:t>
      </w:r>
      <w:r w:rsidRPr="000C3750">
        <w:rPr>
          <w:szCs w:val="24"/>
        </w:rPr>
        <w:t xml:space="preserve"> </w:t>
      </w:r>
      <w:proofErr w:type="gramStart"/>
      <w:r w:rsidRPr="000C3750">
        <w:rPr>
          <w:szCs w:val="24"/>
        </w:rPr>
        <w:t xml:space="preserve">(CSA, 2020) in terms of total annual production and annual cultivation area in the country and third after wheat and </w:t>
      </w:r>
      <w:proofErr w:type="spellStart"/>
      <w:r w:rsidRPr="000C3750">
        <w:rPr>
          <w:szCs w:val="24"/>
        </w:rPr>
        <w:t>tef</w:t>
      </w:r>
      <w:proofErr w:type="spellEnd"/>
      <w:r w:rsidRPr="000C3750">
        <w:rPr>
          <w:szCs w:val="24"/>
        </w:rPr>
        <w:t xml:space="preserve"> in the southeastern highlands of Ethiopia (CSA, </w:t>
      </w:r>
      <w:r w:rsidRPr="000C3750">
        <w:rPr>
          <w:szCs w:val="24"/>
        </w:rPr>
        <w:lastRenderedPageBreak/>
        <w:t>2020).</w:t>
      </w:r>
      <w:proofErr w:type="gramEnd"/>
    </w:p>
    <w:p w:rsidR="00B047BD" w:rsidRPr="000C3750" w:rsidRDefault="004473CD" w:rsidP="00CA176A">
      <w:pPr>
        <w:spacing w:after="0" w:line="360" w:lineRule="auto"/>
        <w:jc w:val="both"/>
        <w:rPr>
          <w:szCs w:val="24"/>
        </w:rPr>
      </w:pPr>
      <w:r w:rsidRPr="000C3750">
        <w:rPr>
          <w:szCs w:val="24"/>
        </w:rPr>
        <w:t>There is an increasing demand for malt barley from the growing brewing industries in Ethiopia. However, the country is still unable to produce enough malt barley grains to satisfy the demand of brewers. Currently, only 50% of the demand for malt barley is met domestically (</w:t>
      </w:r>
      <w:proofErr w:type="spellStart"/>
      <w:r w:rsidRPr="000C3750">
        <w:rPr>
          <w:szCs w:val="24"/>
        </w:rPr>
        <w:t>Addisu</w:t>
      </w:r>
      <w:proofErr w:type="spellEnd"/>
      <w:r w:rsidRPr="000C3750">
        <w:rPr>
          <w:szCs w:val="24"/>
        </w:rPr>
        <w:t>, 2018; (</w:t>
      </w:r>
      <w:proofErr w:type="spellStart"/>
      <w:r w:rsidRPr="000C3750">
        <w:rPr>
          <w:szCs w:val="24"/>
        </w:rPr>
        <w:t>Ag</w:t>
      </w:r>
      <w:r w:rsidRPr="000C3750">
        <w:rPr>
          <w:spacing w:val="1"/>
          <w:szCs w:val="24"/>
        </w:rPr>
        <w:t>e</w:t>
      </w:r>
      <w:r w:rsidRPr="000C3750">
        <w:rPr>
          <w:szCs w:val="24"/>
        </w:rPr>
        <w:t>g</w:t>
      </w:r>
      <w:r w:rsidRPr="000C3750">
        <w:rPr>
          <w:spacing w:val="1"/>
          <w:szCs w:val="24"/>
        </w:rPr>
        <w:t>n</w:t>
      </w:r>
      <w:r w:rsidRPr="000C3750">
        <w:rPr>
          <w:szCs w:val="24"/>
        </w:rPr>
        <w:t>ehu</w:t>
      </w:r>
      <w:proofErr w:type="spellEnd"/>
      <w:r w:rsidRPr="000C3750">
        <w:rPr>
          <w:szCs w:val="24"/>
        </w:rPr>
        <w:t xml:space="preserve"> </w:t>
      </w:r>
      <w:r w:rsidRPr="000C3750">
        <w:rPr>
          <w:i/>
          <w:iCs/>
          <w:szCs w:val="24"/>
        </w:rPr>
        <w:t>et al.</w:t>
      </w:r>
      <w:r w:rsidRPr="000C3750">
        <w:rPr>
          <w:szCs w:val="24"/>
        </w:rPr>
        <w:t>, 2014) despite the huge potential the country has for sufficient malt barley production to satisfy the demands of local brewers and export abroad. T</w:t>
      </w:r>
      <w:r w:rsidRPr="000C3750">
        <w:rPr>
          <w:spacing w:val="1"/>
          <w:szCs w:val="24"/>
        </w:rPr>
        <w:t>h</w:t>
      </w:r>
      <w:r w:rsidRPr="000C3750">
        <w:rPr>
          <w:szCs w:val="24"/>
        </w:rPr>
        <w:t>e total estimated deman</w:t>
      </w:r>
      <w:r w:rsidRPr="000C3750">
        <w:rPr>
          <w:spacing w:val="1"/>
          <w:szCs w:val="24"/>
        </w:rPr>
        <w:t xml:space="preserve">d </w:t>
      </w:r>
      <w:r w:rsidRPr="000C3750">
        <w:rPr>
          <w:szCs w:val="24"/>
        </w:rPr>
        <w:t xml:space="preserve">for </w:t>
      </w:r>
      <w:r w:rsidRPr="000C3750">
        <w:rPr>
          <w:spacing w:val="1"/>
          <w:szCs w:val="24"/>
        </w:rPr>
        <w:t>m</w:t>
      </w:r>
      <w:r w:rsidRPr="000C3750">
        <w:rPr>
          <w:szCs w:val="24"/>
        </w:rPr>
        <w:t>alt barl</w:t>
      </w:r>
      <w:r w:rsidRPr="000C3750">
        <w:rPr>
          <w:spacing w:val="3"/>
          <w:szCs w:val="24"/>
        </w:rPr>
        <w:t>e</w:t>
      </w:r>
      <w:r w:rsidRPr="000C3750">
        <w:rPr>
          <w:szCs w:val="24"/>
        </w:rPr>
        <w:t>y i</w:t>
      </w:r>
      <w:r w:rsidRPr="000C3750">
        <w:rPr>
          <w:spacing w:val="9"/>
          <w:szCs w:val="24"/>
        </w:rPr>
        <w:t xml:space="preserve">n </w:t>
      </w:r>
      <w:r w:rsidRPr="000C3750">
        <w:rPr>
          <w:szCs w:val="24"/>
        </w:rPr>
        <w:t>2015 was</w:t>
      </w:r>
      <w:r w:rsidRPr="000C3750">
        <w:rPr>
          <w:spacing w:val="32"/>
          <w:szCs w:val="24"/>
        </w:rPr>
        <w:t xml:space="preserve"> </w:t>
      </w:r>
      <w:r w:rsidRPr="000C3750">
        <w:rPr>
          <w:szCs w:val="24"/>
        </w:rPr>
        <w:t>approximately 72,000 tons, of which 35% were sup</w:t>
      </w:r>
      <w:r w:rsidRPr="000C3750">
        <w:rPr>
          <w:spacing w:val="1"/>
          <w:szCs w:val="24"/>
        </w:rPr>
        <w:t>p</w:t>
      </w:r>
      <w:r w:rsidRPr="000C3750">
        <w:rPr>
          <w:szCs w:val="24"/>
        </w:rPr>
        <w:t>lied from lo</w:t>
      </w:r>
      <w:r w:rsidRPr="000C3750">
        <w:rPr>
          <w:spacing w:val="1"/>
          <w:szCs w:val="24"/>
        </w:rPr>
        <w:t>c</w:t>
      </w:r>
      <w:r w:rsidRPr="000C3750">
        <w:rPr>
          <w:szCs w:val="24"/>
        </w:rPr>
        <w:t>al barl</w:t>
      </w:r>
      <w:r w:rsidRPr="000C3750">
        <w:rPr>
          <w:spacing w:val="4"/>
          <w:szCs w:val="24"/>
        </w:rPr>
        <w:t>e</w:t>
      </w:r>
      <w:r w:rsidRPr="000C3750">
        <w:rPr>
          <w:szCs w:val="24"/>
        </w:rPr>
        <w:t>y f</w:t>
      </w:r>
      <w:r w:rsidRPr="000C3750">
        <w:rPr>
          <w:spacing w:val="1"/>
          <w:szCs w:val="24"/>
        </w:rPr>
        <w:t>a</w:t>
      </w:r>
      <w:r w:rsidRPr="000C3750">
        <w:rPr>
          <w:szCs w:val="24"/>
        </w:rPr>
        <w:t>rms and the remaini</w:t>
      </w:r>
      <w:r w:rsidRPr="000C3750">
        <w:rPr>
          <w:spacing w:val="3"/>
          <w:szCs w:val="24"/>
        </w:rPr>
        <w:t>n</w:t>
      </w:r>
      <w:r w:rsidRPr="000C3750">
        <w:rPr>
          <w:szCs w:val="24"/>
        </w:rPr>
        <w:t>g 65% (63,526 tons of malt) imported at a cost of $38 million (</w:t>
      </w:r>
      <w:r w:rsidRPr="000C3750">
        <w:rPr>
          <w:spacing w:val="-2"/>
          <w:szCs w:val="24"/>
        </w:rPr>
        <w:t>I</w:t>
      </w:r>
      <w:r w:rsidRPr="000C3750">
        <w:rPr>
          <w:szCs w:val="24"/>
        </w:rPr>
        <w:t>CARDA, 2016). To satisfy t</w:t>
      </w:r>
      <w:r w:rsidRPr="000C3750">
        <w:rPr>
          <w:spacing w:val="2"/>
          <w:szCs w:val="24"/>
        </w:rPr>
        <w:t>h</w:t>
      </w:r>
      <w:r w:rsidRPr="000C3750">
        <w:rPr>
          <w:szCs w:val="24"/>
        </w:rPr>
        <w:t xml:space="preserve">e ever-increasing </w:t>
      </w:r>
      <w:r w:rsidRPr="000C3750">
        <w:rPr>
          <w:spacing w:val="1"/>
          <w:szCs w:val="24"/>
        </w:rPr>
        <w:t>d</w:t>
      </w:r>
      <w:r w:rsidRPr="000C3750">
        <w:rPr>
          <w:szCs w:val="24"/>
        </w:rPr>
        <w:t xml:space="preserve">emand for raw </w:t>
      </w:r>
      <w:r w:rsidRPr="000C3750">
        <w:rPr>
          <w:spacing w:val="2"/>
          <w:szCs w:val="24"/>
        </w:rPr>
        <w:t>m</w:t>
      </w:r>
      <w:r w:rsidRPr="000C3750">
        <w:rPr>
          <w:szCs w:val="24"/>
        </w:rPr>
        <w:t xml:space="preserve">aterials </w:t>
      </w:r>
      <w:r w:rsidRPr="000C3750">
        <w:rPr>
          <w:spacing w:val="3"/>
          <w:szCs w:val="24"/>
        </w:rPr>
        <w:t>b</w:t>
      </w:r>
      <w:r w:rsidRPr="000C3750">
        <w:rPr>
          <w:szCs w:val="24"/>
        </w:rPr>
        <w:t xml:space="preserve">y the </w:t>
      </w:r>
      <w:r w:rsidRPr="000C3750">
        <w:rPr>
          <w:spacing w:val="1"/>
          <w:szCs w:val="24"/>
        </w:rPr>
        <w:t>b</w:t>
      </w:r>
      <w:r w:rsidRPr="000C3750">
        <w:rPr>
          <w:szCs w:val="24"/>
        </w:rPr>
        <w:t>eve</w:t>
      </w:r>
      <w:r w:rsidRPr="000C3750">
        <w:rPr>
          <w:spacing w:val="1"/>
          <w:szCs w:val="24"/>
        </w:rPr>
        <w:t>r</w:t>
      </w:r>
      <w:r w:rsidRPr="000C3750">
        <w:rPr>
          <w:szCs w:val="24"/>
        </w:rPr>
        <w:t xml:space="preserve">age </w:t>
      </w:r>
      <w:r w:rsidRPr="000C3750">
        <w:rPr>
          <w:spacing w:val="2"/>
          <w:szCs w:val="24"/>
        </w:rPr>
        <w:t>industry</w:t>
      </w:r>
      <w:r w:rsidRPr="000C3750">
        <w:rPr>
          <w:szCs w:val="24"/>
        </w:rPr>
        <w:t xml:space="preserve"> and ensure reliable</w:t>
      </w:r>
      <w:r w:rsidRPr="000C3750">
        <w:rPr>
          <w:spacing w:val="1"/>
          <w:szCs w:val="24"/>
        </w:rPr>
        <w:t xml:space="preserve"> </w:t>
      </w:r>
      <w:r w:rsidRPr="000C3750">
        <w:rPr>
          <w:szCs w:val="24"/>
        </w:rPr>
        <w:t>and h</w:t>
      </w:r>
      <w:r w:rsidRPr="000C3750">
        <w:rPr>
          <w:spacing w:val="2"/>
          <w:szCs w:val="24"/>
        </w:rPr>
        <w:t>i</w:t>
      </w:r>
      <w:r w:rsidRPr="000C3750">
        <w:rPr>
          <w:szCs w:val="24"/>
        </w:rPr>
        <w:t xml:space="preserve">gher </w:t>
      </w:r>
      <w:r w:rsidRPr="000C3750">
        <w:rPr>
          <w:spacing w:val="1"/>
          <w:szCs w:val="24"/>
        </w:rPr>
        <w:t>c</w:t>
      </w:r>
      <w:r w:rsidRPr="000C3750">
        <w:rPr>
          <w:szCs w:val="24"/>
        </w:rPr>
        <w:t>ash returns to farmers, the e</w:t>
      </w:r>
      <w:r w:rsidRPr="000C3750">
        <w:rPr>
          <w:spacing w:val="1"/>
          <w:szCs w:val="24"/>
        </w:rPr>
        <w:t>x</w:t>
      </w:r>
      <w:r w:rsidRPr="000C3750">
        <w:rPr>
          <w:szCs w:val="24"/>
        </w:rPr>
        <w:t>pansion of ma</w:t>
      </w:r>
      <w:r w:rsidRPr="000C3750">
        <w:rPr>
          <w:spacing w:val="1"/>
          <w:szCs w:val="24"/>
        </w:rPr>
        <w:t>l</w:t>
      </w:r>
      <w:r w:rsidRPr="000C3750">
        <w:rPr>
          <w:szCs w:val="24"/>
        </w:rPr>
        <w:t>t barl</w:t>
      </w:r>
      <w:r w:rsidRPr="000C3750">
        <w:rPr>
          <w:spacing w:val="3"/>
          <w:szCs w:val="24"/>
        </w:rPr>
        <w:t>e</w:t>
      </w:r>
      <w:r w:rsidRPr="000C3750">
        <w:rPr>
          <w:szCs w:val="24"/>
        </w:rPr>
        <w:t>y prod</w:t>
      </w:r>
      <w:r w:rsidRPr="000C3750">
        <w:rPr>
          <w:spacing w:val="2"/>
          <w:szCs w:val="24"/>
        </w:rPr>
        <w:t>u</w:t>
      </w:r>
      <w:r w:rsidRPr="000C3750">
        <w:rPr>
          <w:szCs w:val="24"/>
        </w:rPr>
        <w:t>ct</w:t>
      </w:r>
      <w:r w:rsidRPr="000C3750">
        <w:rPr>
          <w:spacing w:val="1"/>
          <w:szCs w:val="24"/>
        </w:rPr>
        <w:t>i</w:t>
      </w:r>
      <w:r w:rsidRPr="000C3750">
        <w:rPr>
          <w:szCs w:val="24"/>
        </w:rPr>
        <w:t>on is ve</w:t>
      </w:r>
      <w:r w:rsidRPr="000C3750">
        <w:rPr>
          <w:spacing w:val="1"/>
          <w:szCs w:val="24"/>
        </w:rPr>
        <w:t>r</w:t>
      </w:r>
      <w:r w:rsidRPr="000C3750">
        <w:rPr>
          <w:szCs w:val="24"/>
        </w:rPr>
        <w:t>y important, as there are immense potential areas available for malt barley production to meet national demand (</w:t>
      </w:r>
      <w:r w:rsidRPr="000C3750">
        <w:rPr>
          <w:spacing w:val="-2"/>
          <w:szCs w:val="24"/>
        </w:rPr>
        <w:t>I</w:t>
      </w:r>
      <w:r w:rsidRPr="000C3750">
        <w:rPr>
          <w:szCs w:val="24"/>
        </w:rPr>
        <w:t>CARDA, 2016).</w:t>
      </w:r>
    </w:p>
    <w:p w:rsidR="00652950" w:rsidRPr="000C3750" w:rsidRDefault="00652950" w:rsidP="00CA176A">
      <w:pPr>
        <w:spacing w:after="0" w:line="360" w:lineRule="auto"/>
        <w:jc w:val="both"/>
        <w:rPr>
          <w:szCs w:val="24"/>
        </w:rPr>
      </w:pPr>
      <w:r w:rsidRPr="000C3750">
        <w:rPr>
          <w:szCs w:val="24"/>
        </w:rPr>
        <w:t>The low productivity and poor quality of malt barley are the main reasons for the apparent shortage of malt grains in the country. The national average productivity of malt barley in the 2018/19 cropping season was estimated at 2.01 ton ha</w:t>
      </w:r>
      <w:r w:rsidRPr="000C3750">
        <w:rPr>
          <w:szCs w:val="24"/>
          <w:vertAlign w:val="superscript"/>
        </w:rPr>
        <w:t>-1</w:t>
      </w:r>
      <w:r w:rsidRPr="000C3750">
        <w:rPr>
          <w:szCs w:val="24"/>
        </w:rPr>
        <w:t xml:space="preserve"> (CSA, 2020) which is far below the world av</w:t>
      </w:r>
      <w:r w:rsidRPr="000C3750">
        <w:rPr>
          <w:spacing w:val="-1"/>
          <w:szCs w:val="24"/>
        </w:rPr>
        <w:t>e</w:t>
      </w:r>
      <w:r w:rsidRPr="000C3750">
        <w:rPr>
          <w:szCs w:val="24"/>
        </w:rPr>
        <w:t>ra</w:t>
      </w:r>
      <w:r w:rsidRPr="000C3750">
        <w:rPr>
          <w:spacing w:val="-1"/>
          <w:szCs w:val="24"/>
        </w:rPr>
        <w:t>g</w:t>
      </w:r>
      <w:r w:rsidRPr="000C3750">
        <w:rPr>
          <w:szCs w:val="24"/>
        </w:rPr>
        <w:t>e productivit</w:t>
      </w:r>
      <w:r w:rsidRPr="000C3750">
        <w:rPr>
          <w:spacing w:val="-5"/>
          <w:szCs w:val="24"/>
        </w:rPr>
        <w:t xml:space="preserve">y </w:t>
      </w:r>
      <w:r w:rsidRPr="000C3750">
        <w:rPr>
          <w:szCs w:val="24"/>
        </w:rPr>
        <w:t>of 2.4 tons h</w:t>
      </w:r>
      <w:r w:rsidRPr="000C3750">
        <w:rPr>
          <w:spacing w:val="-1"/>
          <w:szCs w:val="24"/>
        </w:rPr>
        <w:t>a</w:t>
      </w:r>
      <w:r w:rsidRPr="000C3750">
        <w:rPr>
          <w:spacing w:val="-1"/>
          <w:szCs w:val="24"/>
          <w:vertAlign w:val="superscript"/>
        </w:rPr>
        <w:t>-</w:t>
      </w:r>
      <w:r w:rsidRPr="000C3750">
        <w:rPr>
          <w:szCs w:val="24"/>
          <w:vertAlign w:val="superscript"/>
        </w:rPr>
        <w:t xml:space="preserve">1 </w:t>
      </w:r>
      <w:r w:rsidRPr="000C3750">
        <w:rPr>
          <w:szCs w:val="24"/>
        </w:rPr>
        <w:t xml:space="preserve">(FAOSTAT, 2016 and </w:t>
      </w:r>
      <w:r w:rsidRPr="000C3750">
        <w:rPr>
          <w:rFonts w:eastAsia="Calibri"/>
          <w:szCs w:val="24"/>
        </w:rPr>
        <w:t>USDA, 2017</w:t>
      </w:r>
      <w:r w:rsidRPr="000C3750">
        <w:rPr>
          <w:szCs w:val="24"/>
        </w:rPr>
        <w:t xml:space="preserve">). </w:t>
      </w:r>
    </w:p>
    <w:p w:rsidR="00901E5B" w:rsidRPr="000C3750" w:rsidRDefault="00AD0DF6" w:rsidP="00CA176A">
      <w:pPr>
        <w:spacing w:after="0" w:line="360" w:lineRule="auto"/>
        <w:jc w:val="both"/>
        <w:rPr>
          <w:szCs w:val="24"/>
        </w:rPr>
      </w:pPr>
      <w:r>
        <w:rPr>
          <w:szCs w:val="24"/>
        </w:rPr>
        <w:t>Soil acidity, P fixation in acid soils, lack of improved varieties and insufficient use of improved crop management technologies, diseases, insect pests, weeds and poor soil fertility are some of the challenges that explain the low barley productivity in Ethiopia (</w:t>
      </w:r>
      <w:proofErr w:type="spellStart"/>
      <w:r>
        <w:rPr>
          <w:szCs w:val="24"/>
        </w:rPr>
        <w:t>Derebe</w:t>
      </w:r>
      <w:proofErr w:type="spellEnd"/>
      <w:r>
        <w:rPr>
          <w:szCs w:val="24"/>
        </w:rPr>
        <w:t xml:space="preserve"> </w:t>
      </w:r>
      <w:r>
        <w:rPr>
          <w:i/>
          <w:szCs w:val="24"/>
        </w:rPr>
        <w:t>et al</w:t>
      </w:r>
      <w:r>
        <w:rPr>
          <w:szCs w:val="24"/>
        </w:rPr>
        <w:t>., 2018). Poor soil fertility, especially phosphorus deficiency, is one of the main challenges in barley production. Most cultivate</w:t>
      </w:r>
      <w:r>
        <w:rPr>
          <w:spacing w:val="1"/>
          <w:szCs w:val="24"/>
        </w:rPr>
        <w:t xml:space="preserve">d </w:t>
      </w:r>
      <w:r>
        <w:rPr>
          <w:szCs w:val="24"/>
        </w:rPr>
        <w:t>land in Ethiopian highlan</w:t>
      </w:r>
      <w:r>
        <w:rPr>
          <w:spacing w:val="-1"/>
          <w:szCs w:val="24"/>
        </w:rPr>
        <w:t>d</w:t>
      </w:r>
      <w:r>
        <w:rPr>
          <w:szCs w:val="24"/>
        </w:rPr>
        <w:t>s is c</w:t>
      </w:r>
      <w:r>
        <w:rPr>
          <w:spacing w:val="-1"/>
          <w:szCs w:val="24"/>
        </w:rPr>
        <w:t>h</w:t>
      </w:r>
      <w:r>
        <w:rPr>
          <w:szCs w:val="24"/>
        </w:rPr>
        <w:t>aracter</w:t>
      </w:r>
      <w:r>
        <w:rPr>
          <w:spacing w:val="-2"/>
          <w:szCs w:val="24"/>
        </w:rPr>
        <w:t>i</w:t>
      </w:r>
      <w:r>
        <w:rPr>
          <w:szCs w:val="24"/>
        </w:rPr>
        <w:t>z</w:t>
      </w:r>
      <w:r>
        <w:rPr>
          <w:spacing w:val="-2"/>
          <w:szCs w:val="24"/>
        </w:rPr>
        <w:t>e</w:t>
      </w:r>
      <w:r>
        <w:rPr>
          <w:szCs w:val="24"/>
        </w:rPr>
        <w:t xml:space="preserve">d </w:t>
      </w:r>
      <w:r>
        <w:rPr>
          <w:spacing w:val="-2"/>
          <w:szCs w:val="24"/>
        </w:rPr>
        <w:t>b</w:t>
      </w:r>
      <w:r>
        <w:rPr>
          <w:szCs w:val="24"/>
        </w:rPr>
        <w:t xml:space="preserve">y heavy rains </w:t>
      </w:r>
      <w:r>
        <w:rPr>
          <w:spacing w:val="1"/>
          <w:szCs w:val="24"/>
        </w:rPr>
        <w:t>and is</w:t>
      </w:r>
      <w:r>
        <w:rPr>
          <w:szCs w:val="24"/>
        </w:rPr>
        <w:t xml:space="preserve"> prone to soil acidit</w:t>
      </w:r>
      <w:r>
        <w:rPr>
          <w:spacing w:val="1"/>
          <w:szCs w:val="24"/>
        </w:rPr>
        <w:t xml:space="preserve">y </w:t>
      </w:r>
      <w:r>
        <w:rPr>
          <w:szCs w:val="24"/>
        </w:rPr>
        <w:t>due to the removal of an ample amount of e</w:t>
      </w:r>
      <w:r>
        <w:rPr>
          <w:spacing w:val="1"/>
          <w:szCs w:val="24"/>
        </w:rPr>
        <w:t>x</w:t>
      </w:r>
      <w:r>
        <w:rPr>
          <w:szCs w:val="24"/>
        </w:rPr>
        <w:t>c</w:t>
      </w:r>
      <w:r>
        <w:rPr>
          <w:spacing w:val="1"/>
          <w:szCs w:val="24"/>
        </w:rPr>
        <w:t>ha</w:t>
      </w:r>
      <w:r>
        <w:rPr>
          <w:szCs w:val="24"/>
        </w:rPr>
        <w:t>n</w:t>
      </w:r>
      <w:r>
        <w:rPr>
          <w:spacing w:val="1"/>
          <w:szCs w:val="24"/>
        </w:rPr>
        <w:t>g</w:t>
      </w:r>
      <w:r>
        <w:rPr>
          <w:szCs w:val="24"/>
        </w:rPr>
        <w:t>e</w:t>
      </w:r>
      <w:r>
        <w:rPr>
          <w:spacing w:val="1"/>
          <w:szCs w:val="24"/>
        </w:rPr>
        <w:t>a</w:t>
      </w:r>
      <w:r>
        <w:rPr>
          <w:szCs w:val="24"/>
        </w:rPr>
        <w:t>bl</w:t>
      </w:r>
      <w:r>
        <w:rPr>
          <w:spacing w:val="1"/>
          <w:szCs w:val="24"/>
        </w:rPr>
        <w:t xml:space="preserve">e </w:t>
      </w:r>
      <w:proofErr w:type="spellStart"/>
      <w:r>
        <w:rPr>
          <w:szCs w:val="24"/>
        </w:rPr>
        <w:t>cations</w:t>
      </w:r>
      <w:proofErr w:type="spellEnd"/>
      <w:r>
        <w:rPr>
          <w:szCs w:val="24"/>
        </w:rPr>
        <w:t xml:space="preserve"> through leac</w:t>
      </w:r>
      <w:r>
        <w:rPr>
          <w:spacing w:val="1"/>
          <w:szCs w:val="24"/>
        </w:rPr>
        <w:t>h</w:t>
      </w:r>
      <w:r>
        <w:rPr>
          <w:szCs w:val="24"/>
        </w:rPr>
        <w:t>i</w:t>
      </w:r>
      <w:r>
        <w:rPr>
          <w:spacing w:val="1"/>
          <w:szCs w:val="24"/>
        </w:rPr>
        <w:t>n</w:t>
      </w:r>
      <w:r>
        <w:rPr>
          <w:szCs w:val="24"/>
        </w:rPr>
        <w:t xml:space="preserve">g, crop mining, </w:t>
      </w:r>
      <w:r>
        <w:rPr>
          <w:spacing w:val="1"/>
          <w:szCs w:val="24"/>
        </w:rPr>
        <w:t>a</w:t>
      </w:r>
      <w:r>
        <w:rPr>
          <w:szCs w:val="24"/>
        </w:rPr>
        <w:t>nd runoff compared to grazing and fo</w:t>
      </w:r>
      <w:r>
        <w:rPr>
          <w:spacing w:val="1"/>
          <w:szCs w:val="24"/>
        </w:rPr>
        <w:t>r</w:t>
      </w:r>
      <w:r>
        <w:rPr>
          <w:szCs w:val="24"/>
        </w:rPr>
        <w:t>est land (IFPRI</w:t>
      </w:r>
      <w:r>
        <w:rPr>
          <w:spacing w:val="1"/>
          <w:szCs w:val="24"/>
        </w:rPr>
        <w:t xml:space="preserve">, </w:t>
      </w:r>
      <w:r>
        <w:rPr>
          <w:szCs w:val="24"/>
        </w:rPr>
        <w:t xml:space="preserve">2010, </w:t>
      </w:r>
      <w:proofErr w:type="spellStart"/>
      <w:r>
        <w:rPr>
          <w:szCs w:val="24"/>
        </w:rPr>
        <w:t>Temesgen</w:t>
      </w:r>
      <w:proofErr w:type="spellEnd"/>
      <w:r>
        <w:rPr>
          <w:szCs w:val="24"/>
        </w:rPr>
        <w:t>, 201</w:t>
      </w:r>
      <w:r>
        <w:rPr>
          <w:spacing w:val="1"/>
          <w:szCs w:val="24"/>
        </w:rPr>
        <w:t>4</w:t>
      </w:r>
      <w:r>
        <w:rPr>
          <w:szCs w:val="24"/>
        </w:rPr>
        <w:t>)</w:t>
      </w:r>
      <w:r>
        <w:rPr>
          <w:spacing w:val="1"/>
          <w:szCs w:val="24"/>
        </w:rPr>
        <w:t xml:space="preserve">. </w:t>
      </w:r>
      <w:r>
        <w:rPr>
          <w:szCs w:val="24"/>
        </w:rPr>
        <w:t xml:space="preserve">For example, </w:t>
      </w:r>
      <w:proofErr w:type="spellStart"/>
      <w:r>
        <w:rPr>
          <w:szCs w:val="24"/>
        </w:rPr>
        <w:t>Tadesse</w:t>
      </w:r>
      <w:proofErr w:type="spellEnd"/>
      <w:r>
        <w:rPr>
          <w:szCs w:val="24"/>
        </w:rPr>
        <w:t xml:space="preserve"> </w:t>
      </w:r>
      <w:r>
        <w:rPr>
          <w:i/>
          <w:szCs w:val="24"/>
        </w:rPr>
        <w:t>et al</w:t>
      </w:r>
      <w:r>
        <w:rPr>
          <w:szCs w:val="24"/>
        </w:rPr>
        <w:t xml:space="preserve">. (2018) reported that the malt barley yield increased by </w:t>
      </w:r>
      <w:r>
        <w:rPr>
          <w:rStyle w:val="A4"/>
          <w:color w:val="auto"/>
          <w:sz w:val="24"/>
          <w:szCs w:val="24"/>
        </w:rPr>
        <w:t xml:space="preserve">70.74% over the untreated control treatment </w:t>
      </w:r>
      <w:r>
        <w:rPr>
          <w:szCs w:val="24"/>
        </w:rPr>
        <w:t>due to the application of P at 40 kg ha</w:t>
      </w:r>
      <w:r>
        <w:rPr>
          <w:szCs w:val="24"/>
          <w:vertAlign w:val="superscript"/>
        </w:rPr>
        <w:t>-1</w:t>
      </w:r>
      <w:r>
        <w:rPr>
          <w:szCs w:val="24"/>
        </w:rPr>
        <w:t xml:space="preserve"> in central Ethiopia. Similarly, </w:t>
      </w:r>
      <w:proofErr w:type="spellStart"/>
      <w:r>
        <w:rPr>
          <w:szCs w:val="24"/>
        </w:rPr>
        <w:t>Temesgen</w:t>
      </w:r>
      <w:proofErr w:type="spellEnd"/>
      <w:r>
        <w:rPr>
          <w:i/>
          <w:szCs w:val="24"/>
        </w:rPr>
        <w:t xml:space="preserve"> et al</w:t>
      </w:r>
      <w:r>
        <w:rPr>
          <w:szCs w:val="24"/>
        </w:rPr>
        <w:t xml:space="preserve">. (2016) </w:t>
      </w:r>
      <w:r>
        <w:rPr>
          <w:rStyle w:val="A4"/>
          <w:color w:val="auto"/>
          <w:sz w:val="24"/>
          <w:szCs w:val="24"/>
        </w:rPr>
        <w:t>by additions of 10, 20 and 30 kg P ha</w:t>
      </w:r>
      <w:r>
        <w:rPr>
          <w:rStyle w:val="A4"/>
          <w:color w:val="auto"/>
          <w:sz w:val="24"/>
          <w:szCs w:val="24"/>
          <w:vertAlign w:val="superscript"/>
        </w:rPr>
        <w:t>−1</w:t>
      </w:r>
      <w:r>
        <w:rPr>
          <w:rStyle w:val="A4"/>
          <w:color w:val="auto"/>
          <w:sz w:val="24"/>
          <w:szCs w:val="24"/>
        </w:rPr>
        <w:t xml:space="preserve"> obtained barley grain yield increase of approximately 29, 55 and 66%, respectively, compared to the control (without P) in central Ethiopia. </w:t>
      </w:r>
    </w:p>
    <w:p w:rsidR="00901E5B" w:rsidRPr="000C3750" w:rsidRDefault="00901E5B" w:rsidP="00CA176A">
      <w:pPr>
        <w:spacing w:after="0" w:line="360" w:lineRule="auto"/>
        <w:jc w:val="both"/>
        <w:rPr>
          <w:szCs w:val="24"/>
        </w:rPr>
      </w:pPr>
      <w:r w:rsidRPr="000C3750">
        <w:rPr>
          <w:szCs w:val="24"/>
        </w:rPr>
        <w:t xml:space="preserve">Soil acidity is another critical challenge to barley productivity and production in the Ethiopian highlands. Currently, more than 40% of arable land in Ethiopian soils is estimated to be affected </w:t>
      </w:r>
      <w:r w:rsidRPr="000C3750">
        <w:rPr>
          <w:szCs w:val="24"/>
        </w:rPr>
        <w:lastRenderedPageBreak/>
        <w:t>by soil acidity and is expanding both in scope and intensity (</w:t>
      </w:r>
      <w:proofErr w:type="spellStart"/>
      <w:r w:rsidRPr="000C3750">
        <w:rPr>
          <w:szCs w:val="24"/>
        </w:rPr>
        <w:t>Abebe</w:t>
      </w:r>
      <w:proofErr w:type="spellEnd"/>
      <w:r w:rsidRPr="000C3750">
        <w:rPr>
          <w:szCs w:val="24"/>
        </w:rPr>
        <w:t xml:space="preserve">, 2007; </w:t>
      </w:r>
      <w:proofErr w:type="spellStart"/>
      <w:r w:rsidRPr="000C3750">
        <w:rPr>
          <w:szCs w:val="24"/>
        </w:rPr>
        <w:t>Woubshet</w:t>
      </w:r>
      <w:proofErr w:type="spellEnd"/>
      <w:r w:rsidRPr="000C3750">
        <w:rPr>
          <w:szCs w:val="24"/>
        </w:rPr>
        <w:t xml:space="preserve"> </w:t>
      </w:r>
      <w:r w:rsidRPr="000C3750">
        <w:rPr>
          <w:i/>
          <w:szCs w:val="24"/>
        </w:rPr>
        <w:t>et al.</w:t>
      </w:r>
      <w:r w:rsidRPr="000C3750">
        <w:rPr>
          <w:szCs w:val="24"/>
        </w:rPr>
        <w:t>, 2017). In strongly acid soils, especially soils with pH values less than 5.5, P is fixed by Fe and Al, which become unavailable to growing crops (</w:t>
      </w:r>
      <w:proofErr w:type="spellStart"/>
      <w:r w:rsidRPr="000C3750">
        <w:rPr>
          <w:szCs w:val="24"/>
        </w:rPr>
        <w:t>Taye</w:t>
      </w:r>
      <w:proofErr w:type="spellEnd"/>
      <w:r w:rsidRPr="000C3750">
        <w:rPr>
          <w:i/>
          <w:szCs w:val="24"/>
        </w:rPr>
        <w:t xml:space="preserve"> et al</w:t>
      </w:r>
      <w:r w:rsidRPr="000C3750">
        <w:rPr>
          <w:szCs w:val="24"/>
        </w:rPr>
        <w:t>., 1996). Barley is one of the most sensitive crops to soil acidity (</w:t>
      </w:r>
      <w:proofErr w:type="spellStart"/>
      <w:r w:rsidRPr="000C3750">
        <w:rPr>
          <w:szCs w:val="24"/>
        </w:rPr>
        <w:t>Abebe</w:t>
      </w:r>
      <w:proofErr w:type="spellEnd"/>
      <w:r w:rsidRPr="000C3750">
        <w:rPr>
          <w:szCs w:val="24"/>
        </w:rPr>
        <w:t xml:space="preserve">, 2007; </w:t>
      </w:r>
      <w:proofErr w:type="spellStart"/>
      <w:r w:rsidRPr="000C3750">
        <w:rPr>
          <w:szCs w:val="24"/>
        </w:rPr>
        <w:t>Woubshet</w:t>
      </w:r>
      <w:proofErr w:type="spellEnd"/>
      <w:r w:rsidRPr="000C3750">
        <w:rPr>
          <w:szCs w:val="24"/>
        </w:rPr>
        <w:t>, 2017). Its growth and productivity are severely affected when grown in soils with a pH lower than 6.3. Currently, most of Ethiopia's highlands are severely affected by soil acidity (pH &lt; 5.5) causing up to 50% loss of barley grain yield (</w:t>
      </w:r>
      <w:proofErr w:type="spellStart"/>
      <w:r w:rsidRPr="000C3750">
        <w:rPr>
          <w:szCs w:val="24"/>
        </w:rPr>
        <w:t>Wassie</w:t>
      </w:r>
      <w:proofErr w:type="spellEnd"/>
      <w:r w:rsidRPr="000C3750">
        <w:rPr>
          <w:szCs w:val="24"/>
        </w:rPr>
        <w:t xml:space="preserve"> and </w:t>
      </w:r>
      <w:proofErr w:type="spellStart"/>
      <w:r w:rsidRPr="000C3750">
        <w:rPr>
          <w:szCs w:val="24"/>
        </w:rPr>
        <w:t>Shiferaw</w:t>
      </w:r>
      <w:proofErr w:type="spellEnd"/>
      <w:r w:rsidRPr="000C3750">
        <w:rPr>
          <w:szCs w:val="24"/>
        </w:rPr>
        <w:t xml:space="preserve">, 2009). </w:t>
      </w:r>
    </w:p>
    <w:p w:rsidR="00D96BD8" w:rsidRPr="000C3750" w:rsidRDefault="00CB2C85" w:rsidP="00DA1D38">
      <w:pPr>
        <w:spacing w:after="0" w:line="360" w:lineRule="auto"/>
        <w:ind w:right="72"/>
        <w:jc w:val="both"/>
        <w:rPr>
          <w:szCs w:val="24"/>
        </w:rPr>
      </w:pPr>
      <w:r w:rsidRPr="000C3750">
        <w:rPr>
          <w:szCs w:val="24"/>
        </w:rPr>
        <w:t>Several agricultural practices have been recommended to overcome the problem of infertility of tropical acid soils around the world.  Among  them,  the  most  common  and widely used method is liming, which is defined as the application of ground calcium and/or magnesium carbonates, hydroxides and oxides aimed at increasing the soil pH, modifying its physical, chemical and biological properties (</w:t>
      </w:r>
      <w:proofErr w:type="spellStart"/>
      <w:r w:rsidRPr="000C3750">
        <w:rPr>
          <w:szCs w:val="24"/>
        </w:rPr>
        <w:t>Temesgen</w:t>
      </w:r>
      <w:proofErr w:type="spellEnd"/>
      <w:r w:rsidRPr="000C3750">
        <w:rPr>
          <w:szCs w:val="24"/>
        </w:rPr>
        <w:t xml:space="preserve"> </w:t>
      </w:r>
      <w:r w:rsidRPr="000C3750">
        <w:rPr>
          <w:i/>
          <w:szCs w:val="24"/>
        </w:rPr>
        <w:t>et al.</w:t>
      </w:r>
      <w:r w:rsidRPr="000C3750">
        <w:rPr>
          <w:szCs w:val="24"/>
        </w:rPr>
        <w:t xml:space="preserve"> 2016). The application of lime to acid soils will neutralize acidity and increase soil pH to the desired levels, thus avoiding direct toxicity of roots of crops or plants, increasing the availability of nutrients, particularly P, and stimulating and increasing microbial activity. Therefore, P deficiencies and Al3+ toxicities often occur simultaneously in many acid soils and are believed to be responsible for poor crop yields in acid soils. However, since fixed P would be released for plant uptake after liming, the amount of additional P added must be determined experimentally (</w:t>
      </w:r>
      <w:proofErr w:type="spellStart"/>
      <w:r w:rsidRPr="000C3750">
        <w:rPr>
          <w:szCs w:val="24"/>
        </w:rPr>
        <w:t>Waigwa</w:t>
      </w:r>
      <w:proofErr w:type="spellEnd"/>
      <w:r w:rsidRPr="000C3750">
        <w:rPr>
          <w:szCs w:val="24"/>
        </w:rPr>
        <w:t xml:space="preserve"> </w:t>
      </w:r>
      <w:r w:rsidRPr="000C3750">
        <w:rPr>
          <w:i/>
          <w:szCs w:val="24"/>
        </w:rPr>
        <w:t>et al</w:t>
      </w:r>
      <w:r w:rsidRPr="000C3750">
        <w:rPr>
          <w:szCs w:val="24"/>
        </w:rPr>
        <w:t>., 2003).</w:t>
      </w:r>
    </w:p>
    <w:p w:rsidR="00EA54F9" w:rsidRPr="000C3750" w:rsidRDefault="00BB2963" w:rsidP="00CA176A">
      <w:pPr>
        <w:spacing w:after="0" w:line="360" w:lineRule="auto"/>
        <w:jc w:val="both"/>
        <w:rPr>
          <w:szCs w:val="24"/>
        </w:rPr>
      </w:pPr>
      <w:r>
        <w:rPr>
          <w:szCs w:val="24"/>
        </w:rPr>
        <w:t>Therefore, Al3</w:t>
      </w:r>
      <w:r>
        <w:rPr>
          <w:rFonts w:eastAsia="Cambria"/>
          <w:szCs w:val="24"/>
        </w:rPr>
        <w:t xml:space="preserve">+   </w:t>
      </w:r>
      <w:r>
        <w:rPr>
          <w:szCs w:val="24"/>
        </w:rPr>
        <w:t>toxicity and P deficiency are the two main factors that limit barley production in acid soils and are partly responsible for seasonal malt barley shortages in the highlands of Ethiopia. Therefore, liming and P fertilization appear to be the most important operations required to increase malt barley productivity in the highlands of Ethiopia.  Therefore, it is important to determine and recommend the optimal lime and P rates that should be incorporated into specific acid soils to raise their pH to the required level and improve the grain yield and grain quality of malt barley.</w:t>
      </w:r>
    </w:p>
    <w:p w:rsidR="00283DB4" w:rsidRPr="000C3750" w:rsidRDefault="00EF0964" w:rsidP="00DA1D38">
      <w:pPr>
        <w:pStyle w:val="ListParagraph"/>
        <w:numPr>
          <w:ilvl w:val="0"/>
          <w:numId w:val="13"/>
        </w:numPr>
        <w:tabs>
          <w:tab w:val="left" w:pos="540"/>
        </w:tabs>
        <w:spacing w:after="0" w:line="360" w:lineRule="auto"/>
        <w:rPr>
          <w:rFonts w:ascii="Times New Roman" w:hAnsi="Times New Roman"/>
          <w:b/>
          <w:sz w:val="24"/>
          <w:szCs w:val="24"/>
        </w:rPr>
      </w:pPr>
      <w:r w:rsidRPr="000C3750">
        <w:rPr>
          <w:rFonts w:ascii="Times New Roman" w:hAnsi="Times New Roman"/>
          <w:b/>
          <w:sz w:val="24"/>
          <w:szCs w:val="24"/>
        </w:rPr>
        <w:t xml:space="preserve"> MATERIALS AND METHODS</w:t>
      </w:r>
      <w:bookmarkStart w:id="0" w:name="_Toc179317439"/>
      <w:bookmarkStart w:id="1" w:name="_Toc213044577"/>
      <w:bookmarkStart w:id="2" w:name="_Toc213105365"/>
      <w:bookmarkStart w:id="3" w:name="_Toc213127159"/>
      <w:bookmarkStart w:id="4" w:name="_Toc260380150"/>
      <w:bookmarkStart w:id="5" w:name="_Toc262109564"/>
      <w:bookmarkStart w:id="6" w:name="_Toc379576093"/>
      <w:bookmarkStart w:id="7" w:name="_Toc388209686"/>
      <w:bookmarkStart w:id="8" w:name="_Toc389074905"/>
    </w:p>
    <w:p w:rsidR="00901E5B" w:rsidRPr="000C3750" w:rsidRDefault="00901E5B" w:rsidP="00CA176A">
      <w:pPr>
        <w:pStyle w:val="ListParagraph"/>
        <w:numPr>
          <w:ilvl w:val="1"/>
          <w:numId w:val="16"/>
        </w:numPr>
        <w:tabs>
          <w:tab w:val="left" w:pos="540"/>
        </w:tabs>
        <w:spacing w:after="0" w:line="360" w:lineRule="auto"/>
        <w:jc w:val="both"/>
        <w:rPr>
          <w:rFonts w:ascii="Times New Roman" w:hAnsi="Times New Roman"/>
          <w:b/>
          <w:sz w:val="24"/>
          <w:szCs w:val="24"/>
        </w:rPr>
      </w:pPr>
      <w:r w:rsidRPr="000C3750">
        <w:rPr>
          <w:rFonts w:ascii="Times New Roman" w:hAnsi="Times New Roman"/>
          <w:b/>
          <w:sz w:val="24"/>
          <w:szCs w:val="24"/>
        </w:rPr>
        <w:t>Description of the Study Area</w:t>
      </w:r>
      <w:bookmarkEnd w:id="0"/>
      <w:bookmarkEnd w:id="1"/>
      <w:bookmarkEnd w:id="2"/>
      <w:bookmarkEnd w:id="3"/>
      <w:bookmarkEnd w:id="4"/>
      <w:bookmarkEnd w:id="5"/>
      <w:bookmarkEnd w:id="6"/>
      <w:bookmarkEnd w:id="7"/>
      <w:bookmarkEnd w:id="8"/>
      <w:r w:rsidRPr="000C3750">
        <w:rPr>
          <w:rFonts w:ascii="Times New Roman" w:hAnsi="Times New Roman"/>
          <w:b/>
          <w:sz w:val="24"/>
          <w:szCs w:val="24"/>
        </w:rPr>
        <w:t>s</w:t>
      </w:r>
    </w:p>
    <w:p w:rsidR="00901E5B" w:rsidRPr="000C3750" w:rsidRDefault="00901E5B" w:rsidP="00CA176A">
      <w:pPr>
        <w:spacing w:after="0" w:line="360" w:lineRule="auto"/>
        <w:jc w:val="both"/>
        <w:rPr>
          <w:b/>
        </w:rPr>
      </w:pPr>
      <w:r w:rsidRPr="000C3750">
        <w:rPr>
          <w:szCs w:val="24"/>
        </w:rPr>
        <w:t xml:space="preserve">The experiment was carried out during the 2017/18 cropping season at the Bekoji and Kofele research substations of the </w:t>
      </w:r>
      <w:proofErr w:type="spellStart"/>
      <w:r w:rsidRPr="000C3750">
        <w:rPr>
          <w:szCs w:val="24"/>
        </w:rPr>
        <w:t>Kulumsa</w:t>
      </w:r>
      <w:proofErr w:type="spellEnd"/>
      <w:r w:rsidRPr="000C3750">
        <w:rPr>
          <w:szCs w:val="24"/>
        </w:rPr>
        <w:t xml:space="preserve"> Agricultural Research Center in southeastern Ethiopia. Geographically, the Bekoji and Kofele sub-stations are located at 7</w:t>
      </w:r>
      <w:r>
        <w:rPr>
          <w:szCs w:val="24"/>
          <w:vertAlign w:val="superscript"/>
        </w:rPr>
        <w:sym w:font="Symbol" w:char="F0B0"/>
      </w:r>
      <w:r w:rsidRPr="000C3750">
        <w:rPr>
          <w:szCs w:val="24"/>
        </w:rPr>
        <w:t xml:space="preserve"> 32' 24'' N latitude and 39</w:t>
      </w:r>
      <w:r w:rsidRPr="000C3750">
        <w:rPr>
          <w:szCs w:val="24"/>
          <w:vertAlign w:val="superscript"/>
        </w:rPr>
        <w:t>o</w:t>
      </w:r>
      <w:r w:rsidRPr="000C3750">
        <w:rPr>
          <w:szCs w:val="24"/>
        </w:rPr>
        <w:t xml:space="preserve"> </w:t>
      </w:r>
      <w:r w:rsidRPr="000C3750">
        <w:rPr>
          <w:szCs w:val="24"/>
        </w:rPr>
        <w:lastRenderedPageBreak/>
        <w:t>13' 15'' E longitude; and 7</w:t>
      </w:r>
      <w:r w:rsidRPr="000C3750">
        <w:rPr>
          <w:szCs w:val="24"/>
          <w:vertAlign w:val="superscript"/>
        </w:rPr>
        <w:t>o</w:t>
      </w:r>
      <w:r w:rsidRPr="000C3750">
        <w:rPr>
          <w:szCs w:val="24"/>
        </w:rPr>
        <w:t>18'43" N latitude and 39</w:t>
      </w:r>
      <w:r w:rsidRPr="000C3750">
        <w:rPr>
          <w:szCs w:val="24"/>
          <w:vertAlign w:val="superscript"/>
        </w:rPr>
        <w:t>o</w:t>
      </w:r>
      <w:r w:rsidRPr="000C3750">
        <w:rPr>
          <w:szCs w:val="24"/>
        </w:rPr>
        <w:t>13'21"E longitude, respectively, at an attitude of 2780 and 2360 meters above sea level (</w:t>
      </w:r>
      <w:proofErr w:type="spellStart"/>
      <w:r w:rsidRPr="000C3750">
        <w:rPr>
          <w:szCs w:val="24"/>
        </w:rPr>
        <w:t>Berhane</w:t>
      </w:r>
      <w:proofErr w:type="spellEnd"/>
      <w:r w:rsidRPr="000C3750">
        <w:rPr>
          <w:szCs w:val="24"/>
        </w:rPr>
        <w:t xml:space="preserve"> </w:t>
      </w:r>
      <w:r w:rsidRPr="000C3750">
        <w:rPr>
          <w:i/>
          <w:szCs w:val="24"/>
        </w:rPr>
        <w:t>et al.,</w:t>
      </w:r>
      <w:r w:rsidRPr="000C3750">
        <w:rPr>
          <w:szCs w:val="24"/>
        </w:rPr>
        <w:t xml:space="preserve"> 1996). The average monthly mean minimum and maximum temperatures in Bekoji during the growing season were  15 and 20 ° C, respectively, with a total annual precipitation of 1026 mm, while Kofele had monthly mean minimum and maximum temperatures of 6.7 and 22.7 ° C, respectively, with a total annual precipitation of 1212 mm.</w:t>
      </w:r>
    </w:p>
    <w:p w:rsidR="00901E5B" w:rsidRPr="000C3750" w:rsidRDefault="00901E5B" w:rsidP="00CA176A">
      <w:pPr>
        <w:pStyle w:val="BodyText2"/>
        <w:spacing w:before="0" w:after="0"/>
      </w:pPr>
      <w:r w:rsidRPr="000C3750">
        <w:t xml:space="preserve">The Bekoji soil was classified as a mixture of </w:t>
      </w:r>
      <w:proofErr w:type="spellStart"/>
      <w:r w:rsidRPr="000C3750">
        <w:rPr>
          <w:i/>
        </w:rPr>
        <w:t>nitisols</w:t>
      </w:r>
      <w:proofErr w:type="spellEnd"/>
      <w:r w:rsidRPr="000C3750">
        <w:t xml:space="preserve"> and </w:t>
      </w:r>
      <w:proofErr w:type="spellStart"/>
      <w:r w:rsidRPr="000C3750">
        <w:rPr>
          <w:i/>
        </w:rPr>
        <w:t>vertisols</w:t>
      </w:r>
      <w:proofErr w:type="spellEnd"/>
      <w:r w:rsidRPr="000C3750">
        <w:rPr>
          <w:i/>
        </w:rPr>
        <w:t>, while</w:t>
      </w:r>
      <w:r w:rsidRPr="000C3750">
        <w:t xml:space="preserve"> that of Kofele was classified as </w:t>
      </w:r>
      <w:proofErr w:type="spellStart"/>
      <w:r w:rsidRPr="000C3750">
        <w:rPr>
          <w:i/>
        </w:rPr>
        <w:t>eutric</w:t>
      </w:r>
      <w:proofErr w:type="spellEnd"/>
      <w:r w:rsidRPr="000C3750">
        <w:rPr>
          <w:i/>
        </w:rPr>
        <w:t xml:space="preserve"> </w:t>
      </w:r>
      <w:proofErr w:type="spellStart"/>
      <w:r w:rsidRPr="000C3750">
        <w:rPr>
          <w:i/>
        </w:rPr>
        <w:t>nitosols</w:t>
      </w:r>
      <w:proofErr w:type="spellEnd"/>
      <w:r w:rsidRPr="000C3750">
        <w:rPr>
          <w:i/>
        </w:rPr>
        <w:t xml:space="preserve"> </w:t>
      </w:r>
      <w:r w:rsidRPr="000C3750">
        <w:t>(</w:t>
      </w:r>
      <w:proofErr w:type="spellStart"/>
      <w:r w:rsidRPr="000C3750">
        <w:t>Berhane</w:t>
      </w:r>
      <w:proofErr w:type="spellEnd"/>
      <w:r w:rsidRPr="000C3750">
        <w:t xml:space="preserve"> </w:t>
      </w:r>
      <w:r w:rsidRPr="000C3750">
        <w:rPr>
          <w:i/>
        </w:rPr>
        <w:t>et al.,</w:t>
      </w:r>
      <w:r w:rsidRPr="000C3750">
        <w:t xml:space="preserve"> 1996). Pre-plant soil samples were analyzed from both locations, and the results along with the corresponding ratings and references are summarized in </w:t>
      </w:r>
      <w:r w:rsidRPr="000C3750">
        <w:rPr>
          <w:b/>
        </w:rPr>
        <w:t>Table 1</w:t>
      </w:r>
      <w:r w:rsidRPr="000C3750">
        <w:t xml:space="preserve">. Consequently, the soils of both locations are in the strongly acidic category, low in their available phosphorus, in soil organic carbon, and in total nitrogen content with medium CEC. </w:t>
      </w:r>
    </w:p>
    <w:p w:rsidR="00901E5B" w:rsidRPr="000C3750" w:rsidRDefault="00901E5B" w:rsidP="00F90C19">
      <w:pPr>
        <w:pStyle w:val="Heading4"/>
      </w:pPr>
      <w:r w:rsidRPr="000C3750">
        <w:t>Table 1.Some of the physicochemical properties of experimental soils before sowing</w:t>
      </w:r>
    </w:p>
    <w:tbl>
      <w:tblPr>
        <w:tblW w:w="9270" w:type="dxa"/>
        <w:tblInd w:w="378" w:type="dxa"/>
        <w:tblBorders>
          <w:top w:val="single" w:sz="4" w:space="0" w:color="auto"/>
          <w:bottom w:val="single" w:sz="4" w:space="0" w:color="auto"/>
        </w:tblBorders>
        <w:tblLayout w:type="fixed"/>
        <w:tblLook w:val="04A0" w:firstRow="1" w:lastRow="0" w:firstColumn="1" w:lastColumn="0" w:noHBand="0" w:noVBand="1"/>
      </w:tblPr>
      <w:tblGrid>
        <w:gridCol w:w="2700"/>
        <w:gridCol w:w="810"/>
        <w:gridCol w:w="1170"/>
        <w:gridCol w:w="270"/>
        <w:gridCol w:w="810"/>
        <w:gridCol w:w="1170"/>
        <w:gridCol w:w="2340"/>
      </w:tblGrid>
      <w:tr w:rsidR="00367C01" w:rsidRPr="000C3750" w:rsidTr="00367C01">
        <w:tc>
          <w:tcPr>
            <w:tcW w:w="2700" w:type="dxa"/>
            <w:tcBorders>
              <w:top w:val="single" w:sz="4" w:space="0" w:color="auto"/>
              <w:bottom w:val="nil"/>
            </w:tcBorders>
          </w:tcPr>
          <w:p w:rsidR="00367C01" w:rsidRPr="000C3750" w:rsidRDefault="00367C01" w:rsidP="00FD5A06">
            <w:pPr>
              <w:spacing w:after="0" w:line="240" w:lineRule="auto"/>
              <w:jc w:val="both"/>
              <w:rPr>
                <w:szCs w:val="24"/>
              </w:rPr>
            </w:pPr>
          </w:p>
        </w:tc>
        <w:tc>
          <w:tcPr>
            <w:tcW w:w="1980" w:type="dxa"/>
            <w:gridSpan w:val="2"/>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Bekoji</w:t>
            </w:r>
          </w:p>
        </w:tc>
        <w:tc>
          <w:tcPr>
            <w:tcW w:w="270" w:type="dxa"/>
            <w:tcBorders>
              <w:top w:val="single" w:sz="4" w:space="0" w:color="auto"/>
              <w:bottom w:val="nil"/>
            </w:tcBorders>
          </w:tcPr>
          <w:p w:rsidR="00367C01" w:rsidRPr="000C3750" w:rsidRDefault="00367C01" w:rsidP="00FD5A06">
            <w:pPr>
              <w:spacing w:after="0" w:line="240" w:lineRule="auto"/>
              <w:jc w:val="center"/>
              <w:rPr>
                <w:szCs w:val="24"/>
              </w:rPr>
            </w:pPr>
          </w:p>
        </w:tc>
        <w:tc>
          <w:tcPr>
            <w:tcW w:w="1980" w:type="dxa"/>
            <w:gridSpan w:val="2"/>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Kofele</w:t>
            </w:r>
          </w:p>
        </w:tc>
        <w:tc>
          <w:tcPr>
            <w:tcW w:w="2340" w:type="dxa"/>
            <w:tcBorders>
              <w:top w:val="single" w:sz="4" w:space="0" w:color="auto"/>
              <w:bottom w:val="nil"/>
            </w:tcBorders>
          </w:tcPr>
          <w:p w:rsidR="00367C01" w:rsidRPr="000C3750" w:rsidRDefault="00367C01" w:rsidP="00FD5A06">
            <w:pPr>
              <w:spacing w:after="0" w:line="240" w:lineRule="auto"/>
              <w:jc w:val="center"/>
              <w:rPr>
                <w:szCs w:val="24"/>
              </w:rPr>
            </w:pPr>
            <w:r w:rsidRPr="000C3750">
              <w:rPr>
                <w:szCs w:val="24"/>
              </w:rPr>
              <w:t>References</w:t>
            </w:r>
          </w:p>
        </w:tc>
      </w:tr>
      <w:tr w:rsidR="00367C01" w:rsidRPr="000C3750" w:rsidTr="00367C01">
        <w:tc>
          <w:tcPr>
            <w:tcW w:w="2700" w:type="dxa"/>
            <w:tcBorders>
              <w:top w:val="nil"/>
              <w:bottom w:val="nil"/>
            </w:tcBorders>
          </w:tcPr>
          <w:p w:rsidR="00367C01" w:rsidRPr="000C3750" w:rsidRDefault="00367C01" w:rsidP="00FD5A06">
            <w:pPr>
              <w:spacing w:after="0" w:line="240" w:lineRule="auto"/>
              <w:jc w:val="both"/>
              <w:rPr>
                <w:szCs w:val="24"/>
              </w:rPr>
            </w:pPr>
            <w:r w:rsidRPr="000C3750">
              <w:rPr>
                <w:szCs w:val="24"/>
              </w:rPr>
              <w:t>Soil properties</w:t>
            </w:r>
          </w:p>
        </w:tc>
        <w:tc>
          <w:tcPr>
            <w:tcW w:w="810" w:type="dxa"/>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 xml:space="preserve">Value </w:t>
            </w:r>
          </w:p>
        </w:tc>
        <w:tc>
          <w:tcPr>
            <w:tcW w:w="1170" w:type="dxa"/>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 xml:space="preserve">Rating </w:t>
            </w:r>
          </w:p>
        </w:tc>
        <w:tc>
          <w:tcPr>
            <w:tcW w:w="270" w:type="dxa"/>
            <w:tcBorders>
              <w:top w:val="nil"/>
              <w:bottom w:val="nil"/>
            </w:tcBorders>
          </w:tcPr>
          <w:p w:rsidR="00367C01" w:rsidRPr="000C3750" w:rsidRDefault="00367C01" w:rsidP="00FD5A06">
            <w:pPr>
              <w:spacing w:after="0" w:line="240" w:lineRule="auto"/>
              <w:jc w:val="center"/>
              <w:rPr>
                <w:szCs w:val="24"/>
              </w:rPr>
            </w:pPr>
          </w:p>
        </w:tc>
        <w:tc>
          <w:tcPr>
            <w:tcW w:w="810" w:type="dxa"/>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 xml:space="preserve">Value </w:t>
            </w:r>
          </w:p>
        </w:tc>
        <w:tc>
          <w:tcPr>
            <w:tcW w:w="1170" w:type="dxa"/>
            <w:tcBorders>
              <w:top w:val="single" w:sz="4" w:space="0" w:color="auto"/>
              <w:bottom w:val="single" w:sz="4" w:space="0" w:color="auto"/>
            </w:tcBorders>
          </w:tcPr>
          <w:p w:rsidR="00367C01" w:rsidRPr="000C3750" w:rsidRDefault="00367C01" w:rsidP="00FD5A06">
            <w:pPr>
              <w:spacing w:after="0" w:line="240" w:lineRule="auto"/>
              <w:jc w:val="center"/>
              <w:rPr>
                <w:szCs w:val="24"/>
              </w:rPr>
            </w:pPr>
            <w:r w:rsidRPr="000C3750">
              <w:rPr>
                <w:szCs w:val="24"/>
              </w:rPr>
              <w:t xml:space="preserve">Rating </w:t>
            </w:r>
          </w:p>
        </w:tc>
        <w:tc>
          <w:tcPr>
            <w:tcW w:w="2340" w:type="dxa"/>
            <w:tcBorders>
              <w:top w:val="nil"/>
              <w:bottom w:val="nil"/>
            </w:tcBorders>
          </w:tcPr>
          <w:p w:rsidR="00367C01" w:rsidRPr="000C3750" w:rsidRDefault="00367C01" w:rsidP="00FD5A06">
            <w:pPr>
              <w:spacing w:after="0" w:line="240" w:lineRule="auto"/>
              <w:jc w:val="center"/>
              <w:rPr>
                <w:szCs w:val="24"/>
              </w:rPr>
            </w:pPr>
          </w:p>
        </w:tc>
      </w:tr>
      <w:tr w:rsidR="00367C01" w:rsidRPr="000C3750" w:rsidTr="00367C01">
        <w:tc>
          <w:tcPr>
            <w:tcW w:w="2700" w:type="dxa"/>
            <w:tcBorders>
              <w:top w:val="single" w:sz="4" w:space="0" w:color="auto"/>
              <w:bottom w:val="nil"/>
            </w:tcBorders>
          </w:tcPr>
          <w:p w:rsidR="00367C01" w:rsidRPr="000C3750" w:rsidRDefault="00367C01" w:rsidP="00FD5A06">
            <w:pPr>
              <w:spacing w:after="0" w:line="240" w:lineRule="auto"/>
              <w:jc w:val="both"/>
              <w:rPr>
                <w:szCs w:val="24"/>
              </w:rPr>
            </w:pPr>
            <w:r w:rsidRPr="000C3750">
              <w:rPr>
                <w:szCs w:val="24"/>
              </w:rPr>
              <w:t>Textural composition (%)</w:t>
            </w:r>
          </w:p>
        </w:tc>
        <w:tc>
          <w:tcPr>
            <w:tcW w:w="810" w:type="dxa"/>
            <w:tcBorders>
              <w:top w:val="single" w:sz="4" w:space="0" w:color="auto"/>
              <w:bottom w:val="nil"/>
            </w:tcBorders>
          </w:tcPr>
          <w:p w:rsidR="00367C01" w:rsidRPr="000C3750" w:rsidRDefault="00367C01" w:rsidP="00FD5A06">
            <w:pPr>
              <w:spacing w:after="0" w:line="240" w:lineRule="auto"/>
              <w:jc w:val="center"/>
              <w:rPr>
                <w:szCs w:val="24"/>
              </w:rPr>
            </w:pPr>
          </w:p>
        </w:tc>
        <w:tc>
          <w:tcPr>
            <w:tcW w:w="1170" w:type="dxa"/>
            <w:tcBorders>
              <w:top w:val="single" w:sz="4" w:space="0" w:color="auto"/>
              <w:bottom w:val="nil"/>
            </w:tcBorders>
          </w:tcPr>
          <w:p w:rsidR="00367C01" w:rsidRPr="000C3750" w:rsidRDefault="00367C01" w:rsidP="00FD5A06">
            <w:pPr>
              <w:spacing w:after="0" w:line="240" w:lineRule="auto"/>
              <w:jc w:val="center"/>
              <w:rPr>
                <w:szCs w:val="24"/>
              </w:rPr>
            </w:pPr>
            <w:r w:rsidRPr="000C3750">
              <w:rPr>
                <w:szCs w:val="24"/>
              </w:rPr>
              <w:t>-</w:t>
            </w:r>
          </w:p>
        </w:tc>
        <w:tc>
          <w:tcPr>
            <w:tcW w:w="270" w:type="dxa"/>
            <w:tcBorders>
              <w:top w:val="single" w:sz="4" w:space="0" w:color="auto"/>
              <w:bottom w:val="nil"/>
            </w:tcBorders>
          </w:tcPr>
          <w:p w:rsidR="00367C01" w:rsidRPr="000C3750" w:rsidRDefault="00367C01" w:rsidP="00FD5A06">
            <w:pPr>
              <w:spacing w:after="0" w:line="240" w:lineRule="auto"/>
              <w:jc w:val="center"/>
              <w:rPr>
                <w:szCs w:val="24"/>
              </w:rPr>
            </w:pPr>
          </w:p>
        </w:tc>
        <w:tc>
          <w:tcPr>
            <w:tcW w:w="810" w:type="dxa"/>
            <w:tcBorders>
              <w:top w:val="single" w:sz="4" w:space="0" w:color="auto"/>
              <w:bottom w:val="nil"/>
            </w:tcBorders>
          </w:tcPr>
          <w:p w:rsidR="00367C01" w:rsidRPr="000C3750" w:rsidRDefault="00367C01" w:rsidP="00FD5A06">
            <w:pPr>
              <w:spacing w:after="0" w:line="240" w:lineRule="auto"/>
              <w:jc w:val="center"/>
              <w:rPr>
                <w:szCs w:val="24"/>
              </w:rPr>
            </w:pPr>
          </w:p>
        </w:tc>
        <w:tc>
          <w:tcPr>
            <w:tcW w:w="1170" w:type="dxa"/>
            <w:tcBorders>
              <w:top w:val="single" w:sz="4" w:space="0" w:color="auto"/>
              <w:bottom w:val="nil"/>
            </w:tcBorders>
          </w:tcPr>
          <w:p w:rsidR="00367C01" w:rsidRPr="000C3750" w:rsidRDefault="00367C01" w:rsidP="00FD5A06">
            <w:pPr>
              <w:spacing w:after="0" w:line="240" w:lineRule="auto"/>
              <w:jc w:val="center"/>
              <w:rPr>
                <w:szCs w:val="24"/>
              </w:rPr>
            </w:pPr>
          </w:p>
        </w:tc>
        <w:tc>
          <w:tcPr>
            <w:tcW w:w="2340" w:type="dxa"/>
            <w:tcBorders>
              <w:top w:val="single" w:sz="4" w:space="0" w:color="auto"/>
              <w:bottom w:val="nil"/>
            </w:tcBorders>
          </w:tcPr>
          <w:p w:rsidR="00367C01" w:rsidRPr="000C3750" w:rsidRDefault="00367C01" w:rsidP="00FD5A06">
            <w:pPr>
              <w:spacing w:after="0" w:line="240" w:lineRule="auto"/>
              <w:jc w:val="center"/>
              <w:rPr>
                <w:szCs w:val="24"/>
              </w:rPr>
            </w:pPr>
          </w:p>
        </w:tc>
      </w:tr>
      <w:tr w:rsidR="00367C01" w:rsidRPr="000C3750" w:rsidTr="00367C01">
        <w:tc>
          <w:tcPr>
            <w:tcW w:w="2700" w:type="dxa"/>
            <w:tcBorders>
              <w:top w:val="nil"/>
            </w:tcBorders>
          </w:tcPr>
          <w:p w:rsidR="00367C01" w:rsidRPr="000C3750" w:rsidRDefault="00367C01" w:rsidP="00FD5A06">
            <w:pPr>
              <w:spacing w:after="0" w:line="240" w:lineRule="auto"/>
              <w:jc w:val="both"/>
              <w:rPr>
                <w:szCs w:val="24"/>
              </w:rPr>
            </w:pPr>
            <w:r w:rsidRPr="000C3750">
              <w:rPr>
                <w:szCs w:val="24"/>
              </w:rPr>
              <w:t>Sand</w:t>
            </w:r>
          </w:p>
        </w:tc>
        <w:tc>
          <w:tcPr>
            <w:tcW w:w="810" w:type="dxa"/>
            <w:tcBorders>
              <w:top w:val="nil"/>
            </w:tcBorders>
          </w:tcPr>
          <w:p w:rsidR="00367C01" w:rsidRPr="000C3750" w:rsidRDefault="00367C01" w:rsidP="00FD5A06">
            <w:pPr>
              <w:spacing w:after="0" w:line="240" w:lineRule="auto"/>
              <w:jc w:val="center"/>
              <w:rPr>
                <w:szCs w:val="24"/>
              </w:rPr>
            </w:pPr>
            <w:r w:rsidRPr="000C3750">
              <w:rPr>
                <w:szCs w:val="24"/>
              </w:rPr>
              <w:t>10.0</w:t>
            </w:r>
          </w:p>
        </w:tc>
        <w:tc>
          <w:tcPr>
            <w:tcW w:w="1170" w:type="dxa"/>
            <w:tcBorders>
              <w:top w:val="nil"/>
            </w:tcBorders>
          </w:tcPr>
          <w:p w:rsidR="00367C01" w:rsidRPr="000C3750" w:rsidRDefault="00367C01" w:rsidP="00FD5A06">
            <w:pPr>
              <w:spacing w:after="0" w:line="240" w:lineRule="auto"/>
              <w:jc w:val="center"/>
              <w:rPr>
                <w:szCs w:val="24"/>
              </w:rPr>
            </w:pPr>
            <w:r w:rsidRPr="000C3750">
              <w:rPr>
                <w:szCs w:val="24"/>
              </w:rPr>
              <w:t>-</w:t>
            </w:r>
          </w:p>
        </w:tc>
        <w:tc>
          <w:tcPr>
            <w:tcW w:w="270" w:type="dxa"/>
            <w:tcBorders>
              <w:top w:val="nil"/>
            </w:tcBorders>
          </w:tcPr>
          <w:p w:rsidR="00367C01" w:rsidRPr="000C3750" w:rsidRDefault="00367C01" w:rsidP="00FD5A06">
            <w:pPr>
              <w:spacing w:after="0" w:line="240" w:lineRule="auto"/>
              <w:jc w:val="center"/>
              <w:rPr>
                <w:szCs w:val="24"/>
              </w:rPr>
            </w:pPr>
          </w:p>
        </w:tc>
        <w:tc>
          <w:tcPr>
            <w:tcW w:w="810" w:type="dxa"/>
            <w:tcBorders>
              <w:top w:val="nil"/>
            </w:tcBorders>
          </w:tcPr>
          <w:p w:rsidR="00367C01" w:rsidRPr="000C3750" w:rsidRDefault="00367C01" w:rsidP="00FD5A06">
            <w:pPr>
              <w:spacing w:after="0" w:line="240" w:lineRule="auto"/>
              <w:jc w:val="center"/>
              <w:rPr>
                <w:szCs w:val="24"/>
              </w:rPr>
            </w:pPr>
            <w:r w:rsidRPr="000C3750">
              <w:rPr>
                <w:szCs w:val="24"/>
              </w:rPr>
              <w:t>16.0</w:t>
            </w:r>
          </w:p>
        </w:tc>
        <w:tc>
          <w:tcPr>
            <w:tcW w:w="1170" w:type="dxa"/>
            <w:tcBorders>
              <w:top w:val="nil"/>
            </w:tcBorders>
          </w:tcPr>
          <w:p w:rsidR="00367C01" w:rsidRPr="000C3750" w:rsidRDefault="00367C01" w:rsidP="00FD5A06">
            <w:pPr>
              <w:spacing w:after="0" w:line="240" w:lineRule="auto"/>
              <w:jc w:val="center"/>
              <w:rPr>
                <w:szCs w:val="24"/>
              </w:rPr>
            </w:pPr>
          </w:p>
        </w:tc>
        <w:tc>
          <w:tcPr>
            <w:tcW w:w="2340" w:type="dxa"/>
            <w:tcBorders>
              <w:top w:val="nil"/>
            </w:tcBorders>
          </w:tcPr>
          <w:p w:rsidR="00367C01" w:rsidRPr="000C3750" w:rsidRDefault="00367C01" w:rsidP="00FD5A06">
            <w:pPr>
              <w:spacing w:after="0" w:line="240" w:lineRule="auto"/>
              <w:jc w:val="center"/>
              <w:rPr>
                <w:szCs w:val="24"/>
              </w:rPr>
            </w:pP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Silt</w:t>
            </w:r>
          </w:p>
        </w:tc>
        <w:tc>
          <w:tcPr>
            <w:tcW w:w="810" w:type="dxa"/>
          </w:tcPr>
          <w:p w:rsidR="00367C01" w:rsidRPr="000C3750" w:rsidRDefault="00367C01" w:rsidP="00FD5A06">
            <w:pPr>
              <w:spacing w:after="0" w:line="240" w:lineRule="auto"/>
              <w:jc w:val="center"/>
              <w:rPr>
                <w:szCs w:val="24"/>
              </w:rPr>
            </w:pPr>
            <w:r w:rsidRPr="000C3750">
              <w:rPr>
                <w:szCs w:val="24"/>
              </w:rPr>
              <w:t>53.0</w:t>
            </w:r>
          </w:p>
        </w:tc>
        <w:tc>
          <w:tcPr>
            <w:tcW w:w="1170" w:type="dxa"/>
          </w:tcPr>
          <w:p w:rsidR="00367C01" w:rsidRPr="000C3750" w:rsidRDefault="00367C01" w:rsidP="00FD5A06">
            <w:pPr>
              <w:spacing w:after="0" w:line="240" w:lineRule="auto"/>
              <w:jc w:val="center"/>
              <w:rPr>
                <w:szCs w:val="24"/>
              </w:rPr>
            </w:pPr>
            <w:r w:rsidRPr="000C3750">
              <w:rPr>
                <w:szCs w:val="24"/>
              </w:rPr>
              <w:t>-</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50.0</w:t>
            </w:r>
          </w:p>
        </w:tc>
        <w:tc>
          <w:tcPr>
            <w:tcW w:w="1170" w:type="dxa"/>
          </w:tcPr>
          <w:p w:rsidR="00367C01" w:rsidRPr="000C3750" w:rsidRDefault="00367C01" w:rsidP="00FD5A06">
            <w:pPr>
              <w:spacing w:after="0" w:line="240" w:lineRule="auto"/>
              <w:jc w:val="center"/>
              <w:rPr>
                <w:szCs w:val="24"/>
              </w:rPr>
            </w:pPr>
          </w:p>
        </w:tc>
        <w:tc>
          <w:tcPr>
            <w:tcW w:w="2340" w:type="dxa"/>
          </w:tcPr>
          <w:p w:rsidR="00367C01" w:rsidRPr="000C3750" w:rsidRDefault="00367C01" w:rsidP="00FD5A06">
            <w:pPr>
              <w:spacing w:after="0" w:line="240" w:lineRule="auto"/>
              <w:jc w:val="center"/>
              <w:rPr>
                <w:szCs w:val="24"/>
              </w:rPr>
            </w:pP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Clay</w:t>
            </w:r>
          </w:p>
        </w:tc>
        <w:tc>
          <w:tcPr>
            <w:tcW w:w="810" w:type="dxa"/>
          </w:tcPr>
          <w:p w:rsidR="00367C01" w:rsidRPr="000C3750" w:rsidRDefault="00367C01" w:rsidP="00FD5A06">
            <w:pPr>
              <w:spacing w:after="0" w:line="240" w:lineRule="auto"/>
              <w:jc w:val="center"/>
              <w:rPr>
                <w:szCs w:val="24"/>
              </w:rPr>
            </w:pPr>
            <w:r w:rsidRPr="000C3750">
              <w:rPr>
                <w:szCs w:val="24"/>
              </w:rPr>
              <w:t>37.0</w:t>
            </w:r>
          </w:p>
        </w:tc>
        <w:tc>
          <w:tcPr>
            <w:tcW w:w="1170" w:type="dxa"/>
          </w:tcPr>
          <w:p w:rsidR="00367C01" w:rsidRPr="000C3750" w:rsidRDefault="00367C01" w:rsidP="00FD5A06">
            <w:pPr>
              <w:spacing w:after="0" w:line="240" w:lineRule="auto"/>
              <w:jc w:val="center"/>
              <w:rPr>
                <w:szCs w:val="24"/>
              </w:rPr>
            </w:pPr>
            <w:r w:rsidRPr="000C3750">
              <w:rPr>
                <w:szCs w:val="24"/>
              </w:rPr>
              <w:t>-</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34.0</w:t>
            </w:r>
          </w:p>
        </w:tc>
        <w:tc>
          <w:tcPr>
            <w:tcW w:w="1170" w:type="dxa"/>
          </w:tcPr>
          <w:p w:rsidR="00367C01" w:rsidRPr="000C3750" w:rsidRDefault="00367C01" w:rsidP="00FD5A06">
            <w:pPr>
              <w:spacing w:after="0" w:line="240" w:lineRule="auto"/>
              <w:jc w:val="center"/>
              <w:rPr>
                <w:szCs w:val="24"/>
              </w:rPr>
            </w:pPr>
          </w:p>
        </w:tc>
        <w:tc>
          <w:tcPr>
            <w:tcW w:w="2340" w:type="dxa"/>
          </w:tcPr>
          <w:p w:rsidR="00367C01" w:rsidRPr="000C3750" w:rsidRDefault="00367C01" w:rsidP="00FD5A06">
            <w:pPr>
              <w:spacing w:after="0" w:line="240" w:lineRule="auto"/>
              <w:jc w:val="center"/>
              <w:rPr>
                <w:szCs w:val="24"/>
              </w:rPr>
            </w:pP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Textural class</w:t>
            </w:r>
          </w:p>
        </w:tc>
        <w:tc>
          <w:tcPr>
            <w:tcW w:w="810" w:type="dxa"/>
          </w:tcPr>
          <w:p w:rsidR="00367C01" w:rsidRPr="000C3750" w:rsidRDefault="00E400FF" w:rsidP="00FD5A06">
            <w:pPr>
              <w:spacing w:after="0" w:line="240" w:lineRule="auto"/>
              <w:jc w:val="center"/>
              <w:rPr>
                <w:szCs w:val="24"/>
              </w:rPr>
            </w:pPr>
            <w:r w:rsidRPr="000C3750">
              <w:rPr>
                <w:szCs w:val="24"/>
              </w:rPr>
              <w:t>SL*</w:t>
            </w:r>
          </w:p>
        </w:tc>
        <w:tc>
          <w:tcPr>
            <w:tcW w:w="1170" w:type="dxa"/>
          </w:tcPr>
          <w:p w:rsidR="00367C01" w:rsidRPr="000C3750" w:rsidRDefault="00367C01" w:rsidP="00FD5A06">
            <w:pPr>
              <w:spacing w:after="0" w:line="240" w:lineRule="auto"/>
              <w:jc w:val="center"/>
              <w:rPr>
                <w:szCs w:val="24"/>
              </w:rPr>
            </w:pPr>
            <w:r w:rsidRPr="000C3750">
              <w:rPr>
                <w:szCs w:val="24"/>
              </w:rPr>
              <w:t>-</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E400FF" w:rsidP="00FD5A06">
            <w:pPr>
              <w:spacing w:after="0" w:line="240" w:lineRule="auto"/>
              <w:jc w:val="center"/>
              <w:rPr>
                <w:szCs w:val="24"/>
              </w:rPr>
            </w:pPr>
            <w:r w:rsidRPr="000C3750">
              <w:rPr>
                <w:szCs w:val="24"/>
              </w:rPr>
              <w:t xml:space="preserve">SL* </w:t>
            </w:r>
          </w:p>
        </w:tc>
        <w:tc>
          <w:tcPr>
            <w:tcW w:w="1170" w:type="dxa"/>
          </w:tcPr>
          <w:p w:rsidR="00367C01" w:rsidRPr="000C3750" w:rsidRDefault="00367C01" w:rsidP="00FD5A06">
            <w:pPr>
              <w:spacing w:after="0" w:line="240" w:lineRule="auto"/>
              <w:jc w:val="center"/>
              <w:rPr>
                <w:szCs w:val="24"/>
              </w:rPr>
            </w:pPr>
          </w:p>
        </w:tc>
        <w:tc>
          <w:tcPr>
            <w:tcW w:w="2340" w:type="dxa"/>
          </w:tcPr>
          <w:p w:rsidR="00367C01" w:rsidRPr="000C3750" w:rsidRDefault="00367C01" w:rsidP="00FD5A06">
            <w:pPr>
              <w:spacing w:after="0" w:line="240" w:lineRule="auto"/>
              <w:rPr>
                <w:szCs w:val="24"/>
              </w:rPr>
            </w:pP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pH(1:2.5H</w:t>
            </w:r>
            <w:r w:rsidR="00F90C19" w:rsidRPr="000C3750">
              <w:rPr>
                <w:szCs w:val="24"/>
                <w:vertAlign w:val="subscript"/>
              </w:rPr>
              <w:t>2</w:t>
            </w:r>
            <w:r w:rsidR="00F90C19" w:rsidRPr="000C3750">
              <w:rPr>
                <w:szCs w:val="24"/>
              </w:rPr>
              <w:t>O)</w:t>
            </w:r>
          </w:p>
        </w:tc>
        <w:tc>
          <w:tcPr>
            <w:tcW w:w="810" w:type="dxa"/>
          </w:tcPr>
          <w:p w:rsidR="00367C01" w:rsidRPr="000C3750" w:rsidRDefault="00367C01" w:rsidP="00FD5A06">
            <w:pPr>
              <w:spacing w:after="0" w:line="240" w:lineRule="auto"/>
              <w:jc w:val="center"/>
              <w:rPr>
                <w:szCs w:val="24"/>
              </w:rPr>
            </w:pPr>
            <w:r w:rsidRPr="000C3750">
              <w:rPr>
                <w:szCs w:val="24"/>
              </w:rPr>
              <w:t>5.17</w:t>
            </w:r>
          </w:p>
        </w:tc>
        <w:tc>
          <w:tcPr>
            <w:tcW w:w="1170" w:type="dxa"/>
          </w:tcPr>
          <w:p w:rsidR="00367C01" w:rsidRPr="000C3750" w:rsidRDefault="00370EB8" w:rsidP="00E83053">
            <w:pPr>
              <w:spacing w:after="0" w:line="240" w:lineRule="auto"/>
              <w:rPr>
                <w:szCs w:val="24"/>
              </w:rPr>
            </w:pPr>
            <w:r w:rsidRPr="000C3750">
              <w:rPr>
                <w:szCs w:val="24"/>
              </w:rPr>
              <w:t xml:space="preserve">    SA</w:t>
            </w:r>
            <w:r w:rsidRPr="000C3750">
              <w:rPr>
                <w:szCs w:val="24"/>
                <w:vertAlign w:val="superscript"/>
              </w:rPr>
              <w:t>†</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4.98</w:t>
            </w:r>
          </w:p>
        </w:tc>
        <w:tc>
          <w:tcPr>
            <w:tcW w:w="1170" w:type="dxa"/>
          </w:tcPr>
          <w:p w:rsidR="00367C01" w:rsidRPr="000C3750" w:rsidRDefault="00367C01" w:rsidP="00FD5A06">
            <w:pPr>
              <w:spacing w:after="0" w:line="240" w:lineRule="auto"/>
              <w:jc w:val="center"/>
              <w:rPr>
                <w:szCs w:val="24"/>
              </w:rPr>
            </w:pPr>
            <w:r w:rsidRPr="000C3750">
              <w:rPr>
                <w:szCs w:val="24"/>
              </w:rPr>
              <w:t>SA</w:t>
            </w:r>
            <w:r w:rsidRPr="000C3750">
              <w:rPr>
                <w:szCs w:val="24"/>
                <w:vertAlign w:val="superscript"/>
              </w:rPr>
              <w:t>†</w:t>
            </w:r>
          </w:p>
        </w:tc>
        <w:tc>
          <w:tcPr>
            <w:tcW w:w="2340" w:type="dxa"/>
          </w:tcPr>
          <w:p w:rsidR="00367C01" w:rsidRPr="000C3750" w:rsidRDefault="00367C01" w:rsidP="00FD5A06">
            <w:pPr>
              <w:spacing w:after="0" w:line="240" w:lineRule="auto"/>
              <w:rPr>
                <w:szCs w:val="24"/>
              </w:rPr>
            </w:pPr>
            <w:proofErr w:type="spellStart"/>
            <w:r w:rsidRPr="000C3750">
              <w:rPr>
                <w:szCs w:val="24"/>
              </w:rPr>
              <w:t>Tekalign</w:t>
            </w:r>
            <w:proofErr w:type="spellEnd"/>
            <w:r w:rsidR="00E33793" w:rsidRPr="000C3750">
              <w:rPr>
                <w:szCs w:val="24"/>
              </w:rPr>
              <w:t xml:space="preserve"> </w:t>
            </w:r>
            <w:r w:rsidRPr="000C3750">
              <w:rPr>
                <w:i/>
                <w:szCs w:val="24"/>
              </w:rPr>
              <w:t xml:space="preserve">et al </w:t>
            </w:r>
            <w:r w:rsidRPr="000C3750">
              <w:rPr>
                <w:szCs w:val="24"/>
              </w:rPr>
              <w:t>(1991)</w:t>
            </w:r>
          </w:p>
        </w:tc>
      </w:tr>
      <w:tr w:rsidR="00367C01" w:rsidRPr="000C3750" w:rsidTr="00367C01">
        <w:tc>
          <w:tcPr>
            <w:tcW w:w="2700" w:type="dxa"/>
          </w:tcPr>
          <w:p w:rsidR="00367C01" w:rsidRPr="000C3750" w:rsidRDefault="00367C01" w:rsidP="00AC06B6">
            <w:pPr>
              <w:spacing w:after="0" w:line="240" w:lineRule="auto"/>
              <w:jc w:val="both"/>
              <w:rPr>
                <w:szCs w:val="24"/>
              </w:rPr>
            </w:pPr>
            <w:r w:rsidRPr="000C3750">
              <w:rPr>
                <w:szCs w:val="24"/>
              </w:rPr>
              <w:t>Organic carbon (%)</w:t>
            </w:r>
          </w:p>
        </w:tc>
        <w:tc>
          <w:tcPr>
            <w:tcW w:w="810" w:type="dxa"/>
          </w:tcPr>
          <w:p w:rsidR="00367C01" w:rsidRPr="000C3750" w:rsidRDefault="00367C01" w:rsidP="00FD5A06">
            <w:pPr>
              <w:spacing w:after="0" w:line="240" w:lineRule="auto"/>
              <w:jc w:val="center"/>
              <w:rPr>
                <w:szCs w:val="24"/>
              </w:rPr>
            </w:pPr>
            <w:r w:rsidRPr="000C3750">
              <w:rPr>
                <w:szCs w:val="24"/>
              </w:rPr>
              <w:t>1.30</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1.52</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340" w:type="dxa"/>
          </w:tcPr>
          <w:p w:rsidR="00367C01" w:rsidRPr="000C3750" w:rsidRDefault="00367C01" w:rsidP="00FD5A06">
            <w:pPr>
              <w:spacing w:after="0" w:line="240" w:lineRule="auto"/>
              <w:rPr>
                <w:szCs w:val="24"/>
              </w:rPr>
            </w:pPr>
            <w:proofErr w:type="spellStart"/>
            <w:r w:rsidRPr="000C3750">
              <w:rPr>
                <w:szCs w:val="24"/>
              </w:rPr>
              <w:t>Havlin</w:t>
            </w:r>
            <w:proofErr w:type="spellEnd"/>
            <w:r w:rsidR="00EF0964" w:rsidRPr="000C3750">
              <w:rPr>
                <w:szCs w:val="24"/>
              </w:rPr>
              <w:t xml:space="preserve"> </w:t>
            </w:r>
            <w:r w:rsidRPr="000C3750">
              <w:rPr>
                <w:i/>
                <w:szCs w:val="24"/>
              </w:rPr>
              <w:t>et al</w:t>
            </w:r>
            <w:r w:rsidRPr="000C3750">
              <w:rPr>
                <w:szCs w:val="24"/>
              </w:rPr>
              <w:t>. (1999)</w:t>
            </w: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Total N (%)</w:t>
            </w:r>
          </w:p>
        </w:tc>
        <w:tc>
          <w:tcPr>
            <w:tcW w:w="810" w:type="dxa"/>
          </w:tcPr>
          <w:p w:rsidR="00367C01" w:rsidRPr="000C3750" w:rsidRDefault="00367C01" w:rsidP="00FD5A06">
            <w:pPr>
              <w:spacing w:after="0" w:line="240" w:lineRule="auto"/>
              <w:jc w:val="center"/>
              <w:rPr>
                <w:szCs w:val="24"/>
              </w:rPr>
            </w:pPr>
            <w:r w:rsidRPr="000C3750">
              <w:rPr>
                <w:szCs w:val="24"/>
              </w:rPr>
              <w:t>0.08</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0.11</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340" w:type="dxa"/>
          </w:tcPr>
          <w:p w:rsidR="00367C01" w:rsidRPr="000C3750" w:rsidRDefault="00367C01" w:rsidP="00FD5A06">
            <w:pPr>
              <w:spacing w:after="0" w:line="240" w:lineRule="auto"/>
              <w:rPr>
                <w:szCs w:val="24"/>
              </w:rPr>
            </w:pPr>
            <w:proofErr w:type="spellStart"/>
            <w:r w:rsidRPr="000C3750">
              <w:rPr>
                <w:szCs w:val="24"/>
              </w:rPr>
              <w:t>Tekalign</w:t>
            </w:r>
            <w:proofErr w:type="spellEnd"/>
            <w:r w:rsidR="00EF0964" w:rsidRPr="000C3750">
              <w:rPr>
                <w:szCs w:val="24"/>
              </w:rPr>
              <w:t xml:space="preserve"> </w:t>
            </w:r>
            <w:r w:rsidRPr="000C3750">
              <w:rPr>
                <w:i/>
                <w:szCs w:val="24"/>
              </w:rPr>
              <w:t>et al.</w:t>
            </w:r>
            <w:r w:rsidRPr="000C3750">
              <w:rPr>
                <w:szCs w:val="24"/>
              </w:rPr>
              <w:t xml:space="preserve"> (1991)</w:t>
            </w:r>
          </w:p>
        </w:tc>
      </w:tr>
      <w:tr w:rsidR="00367C01" w:rsidRPr="000C3750" w:rsidTr="00367C01">
        <w:tc>
          <w:tcPr>
            <w:tcW w:w="2700" w:type="dxa"/>
          </w:tcPr>
          <w:p w:rsidR="00367C01" w:rsidRPr="000C3750" w:rsidRDefault="00367C01" w:rsidP="00FD5A06">
            <w:pPr>
              <w:spacing w:after="0" w:line="240" w:lineRule="auto"/>
              <w:jc w:val="both"/>
              <w:rPr>
                <w:szCs w:val="24"/>
              </w:rPr>
            </w:pPr>
            <w:r w:rsidRPr="000C3750">
              <w:rPr>
                <w:szCs w:val="24"/>
              </w:rPr>
              <w:t>Available P (mg kg</w:t>
            </w:r>
            <w:r w:rsidRPr="000C3750">
              <w:rPr>
                <w:szCs w:val="24"/>
                <w:vertAlign w:val="superscript"/>
              </w:rPr>
              <w:t>-1</w:t>
            </w:r>
            <w:r w:rsidRPr="000C3750">
              <w:rPr>
                <w:szCs w:val="24"/>
              </w:rPr>
              <w:t>)</w:t>
            </w:r>
          </w:p>
        </w:tc>
        <w:tc>
          <w:tcPr>
            <w:tcW w:w="810" w:type="dxa"/>
          </w:tcPr>
          <w:p w:rsidR="00367C01" w:rsidRPr="000C3750" w:rsidRDefault="00367C01" w:rsidP="00FD5A06">
            <w:pPr>
              <w:spacing w:after="0" w:line="240" w:lineRule="auto"/>
              <w:jc w:val="center"/>
              <w:rPr>
                <w:szCs w:val="24"/>
              </w:rPr>
            </w:pPr>
            <w:r w:rsidRPr="000C3750">
              <w:rPr>
                <w:szCs w:val="24"/>
              </w:rPr>
              <w:t>6.70</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70" w:type="dxa"/>
          </w:tcPr>
          <w:p w:rsidR="00367C01" w:rsidRPr="000C3750" w:rsidRDefault="00367C01" w:rsidP="00FD5A06">
            <w:pPr>
              <w:spacing w:after="0" w:line="240" w:lineRule="auto"/>
              <w:jc w:val="center"/>
              <w:rPr>
                <w:szCs w:val="24"/>
              </w:rPr>
            </w:pPr>
          </w:p>
        </w:tc>
        <w:tc>
          <w:tcPr>
            <w:tcW w:w="810" w:type="dxa"/>
          </w:tcPr>
          <w:p w:rsidR="00367C01" w:rsidRPr="000C3750" w:rsidRDefault="00367C01" w:rsidP="00FD5A06">
            <w:pPr>
              <w:spacing w:after="0" w:line="240" w:lineRule="auto"/>
              <w:jc w:val="center"/>
              <w:rPr>
                <w:szCs w:val="24"/>
              </w:rPr>
            </w:pPr>
            <w:r w:rsidRPr="000C3750">
              <w:rPr>
                <w:szCs w:val="24"/>
              </w:rPr>
              <w:t>7.10</w:t>
            </w:r>
          </w:p>
        </w:tc>
        <w:tc>
          <w:tcPr>
            <w:tcW w:w="1170" w:type="dxa"/>
          </w:tcPr>
          <w:p w:rsidR="00367C01" w:rsidRPr="000C3750" w:rsidRDefault="00367C01" w:rsidP="00FD5A06">
            <w:pPr>
              <w:spacing w:after="0" w:line="240" w:lineRule="auto"/>
              <w:jc w:val="center"/>
              <w:rPr>
                <w:szCs w:val="24"/>
              </w:rPr>
            </w:pPr>
            <w:r w:rsidRPr="000C3750">
              <w:rPr>
                <w:szCs w:val="24"/>
              </w:rPr>
              <w:t>Low</w:t>
            </w:r>
          </w:p>
        </w:tc>
        <w:tc>
          <w:tcPr>
            <w:tcW w:w="2340" w:type="dxa"/>
          </w:tcPr>
          <w:p w:rsidR="00367C01" w:rsidRPr="000C3750" w:rsidRDefault="00367C01" w:rsidP="00FD5A06">
            <w:pPr>
              <w:spacing w:after="0" w:line="240" w:lineRule="auto"/>
              <w:rPr>
                <w:szCs w:val="24"/>
              </w:rPr>
            </w:pPr>
            <w:proofErr w:type="spellStart"/>
            <w:r w:rsidRPr="000C3750">
              <w:rPr>
                <w:szCs w:val="24"/>
              </w:rPr>
              <w:t>Tekalign</w:t>
            </w:r>
            <w:proofErr w:type="spellEnd"/>
            <w:r w:rsidR="00EF0964" w:rsidRPr="000C3750">
              <w:rPr>
                <w:szCs w:val="24"/>
              </w:rPr>
              <w:t xml:space="preserve"> </w:t>
            </w:r>
            <w:r w:rsidRPr="000C3750">
              <w:rPr>
                <w:i/>
                <w:szCs w:val="24"/>
              </w:rPr>
              <w:t>et al.</w:t>
            </w:r>
            <w:r w:rsidRPr="000C3750">
              <w:rPr>
                <w:szCs w:val="24"/>
              </w:rPr>
              <w:t xml:space="preserve"> (1991)</w:t>
            </w:r>
          </w:p>
        </w:tc>
      </w:tr>
      <w:tr w:rsidR="00367C01" w:rsidRPr="000C3750" w:rsidTr="00367C01">
        <w:trPr>
          <w:trHeight w:val="207"/>
        </w:trPr>
        <w:tc>
          <w:tcPr>
            <w:tcW w:w="2700" w:type="dxa"/>
          </w:tcPr>
          <w:p w:rsidR="00367C01" w:rsidRPr="000C3750" w:rsidRDefault="00367C01" w:rsidP="00FD5A06">
            <w:pPr>
              <w:spacing w:after="0" w:line="360" w:lineRule="auto"/>
              <w:jc w:val="both"/>
              <w:rPr>
                <w:szCs w:val="24"/>
              </w:rPr>
            </w:pPr>
            <w:r w:rsidRPr="000C3750">
              <w:rPr>
                <w:szCs w:val="24"/>
              </w:rPr>
              <w:t>CEC (</w:t>
            </w:r>
            <w:proofErr w:type="spellStart"/>
            <w:r w:rsidRPr="000C3750">
              <w:rPr>
                <w:szCs w:val="24"/>
              </w:rPr>
              <w:t>cmol</w:t>
            </w:r>
            <w:proofErr w:type="spellEnd"/>
            <w:r w:rsidRPr="000C3750">
              <w:rPr>
                <w:szCs w:val="24"/>
              </w:rPr>
              <w:t>(+)/kg)</w:t>
            </w:r>
          </w:p>
        </w:tc>
        <w:tc>
          <w:tcPr>
            <w:tcW w:w="810" w:type="dxa"/>
          </w:tcPr>
          <w:p w:rsidR="00367C01" w:rsidRPr="000C3750" w:rsidRDefault="00367C01" w:rsidP="00FD5A06">
            <w:pPr>
              <w:spacing w:after="0" w:line="360" w:lineRule="auto"/>
              <w:jc w:val="center"/>
              <w:rPr>
                <w:szCs w:val="24"/>
              </w:rPr>
            </w:pPr>
            <w:r w:rsidRPr="000C3750">
              <w:rPr>
                <w:szCs w:val="24"/>
              </w:rPr>
              <w:t>20.15</w:t>
            </w:r>
          </w:p>
        </w:tc>
        <w:tc>
          <w:tcPr>
            <w:tcW w:w="1170" w:type="dxa"/>
          </w:tcPr>
          <w:p w:rsidR="00367C01" w:rsidRPr="000C3750" w:rsidRDefault="00367C01" w:rsidP="00FD5A06">
            <w:pPr>
              <w:spacing w:after="0" w:line="360" w:lineRule="auto"/>
              <w:jc w:val="center"/>
              <w:rPr>
                <w:szCs w:val="24"/>
              </w:rPr>
            </w:pPr>
            <w:r w:rsidRPr="000C3750">
              <w:rPr>
                <w:szCs w:val="24"/>
              </w:rPr>
              <w:t>Medium</w:t>
            </w:r>
          </w:p>
        </w:tc>
        <w:tc>
          <w:tcPr>
            <w:tcW w:w="270" w:type="dxa"/>
          </w:tcPr>
          <w:p w:rsidR="00367C01" w:rsidRPr="000C3750" w:rsidRDefault="00367C01" w:rsidP="00FD5A06">
            <w:pPr>
              <w:spacing w:after="0" w:line="360" w:lineRule="auto"/>
              <w:jc w:val="center"/>
              <w:rPr>
                <w:szCs w:val="24"/>
              </w:rPr>
            </w:pPr>
          </w:p>
        </w:tc>
        <w:tc>
          <w:tcPr>
            <w:tcW w:w="810" w:type="dxa"/>
          </w:tcPr>
          <w:p w:rsidR="00367C01" w:rsidRPr="000C3750" w:rsidRDefault="00367C01" w:rsidP="00FD5A06">
            <w:pPr>
              <w:spacing w:after="0" w:line="360" w:lineRule="auto"/>
              <w:jc w:val="center"/>
              <w:rPr>
                <w:szCs w:val="24"/>
              </w:rPr>
            </w:pPr>
            <w:r w:rsidRPr="000C3750">
              <w:rPr>
                <w:szCs w:val="24"/>
              </w:rPr>
              <w:t>18.05</w:t>
            </w:r>
          </w:p>
        </w:tc>
        <w:tc>
          <w:tcPr>
            <w:tcW w:w="1170" w:type="dxa"/>
          </w:tcPr>
          <w:p w:rsidR="00367C01" w:rsidRPr="000C3750" w:rsidRDefault="00367C01" w:rsidP="00FD5A06">
            <w:pPr>
              <w:spacing w:after="0" w:line="360" w:lineRule="auto"/>
              <w:jc w:val="center"/>
              <w:rPr>
                <w:szCs w:val="24"/>
              </w:rPr>
            </w:pPr>
            <w:r w:rsidRPr="000C3750">
              <w:rPr>
                <w:szCs w:val="24"/>
              </w:rPr>
              <w:t>Medium</w:t>
            </w:r>
          </w:p>
        </w:tc>
        <w:tc>
          <w:tcPr>
            <w:tcW w:w="2340" w:type="dxa"/>
          </w:tcPr>
          <w:p w:rsidR="00367C01" w:rsidRPr="000C3750" w:rsidRDefault="00367C01" w:rsidP="00FD5A06">
            <w:pPr>
              <w:spacing w:after="0" w:line="360" w:lineRule="auto"/>
              <w:rPr>
                <w:szCs w:val="24"/>
              </w:rPr>
            </w:pPr>
            <w:r w:rsidRPr="000C3750">
              <w:rPr>
                <w:szCs w:val="24"/>
              </w:rPr>
              <w:t>Landon (1991)</w:t>
            </w:r>
          </w:p>
        </w:tc>
      </w:tr>
    </w:tbl>
    <w:p w:rsidR="00370EB8" w:rsidRPr="000C3750" w:rsidRDefault="00E400FF" w:rsidP="00370EB8">
      <w:pPr>
        <w:spacing w:after="0" w:line="360" w:lineRule="auto"/>
        <w:ind w:left="360"/>
        <w:rPr>
          <w:b/>
          <w:i/>
          <w:szCs w:val="24"/>
        </w:rPr>
      </w:pPr>
      <w:r w:rsidRPr="000C3750">
        <w:rPr>
          <w:i/>
          <w:szCs w:val="24"/>
        </w:rPr>
        <w:t>SA = strongly acidic; SL* = silt loam</w:t>
      </w:r>
    </w:p>
    <w:p w:rsidR="00901E5B" w:rsidRPr="000C3750" w:rsidRDefault="00901E5B" w:rsidP="00CA176A">
      <w:pPr>
        <w:pStyle w:val="ListParagraph"/>
        <w:numPr>
          <w:ilvl w:val="1"/>
          <w:numId w:val="16"/>
        </w:numPr>
        <w:spacing w:after="0" w:line="360" w:lineRule="auto"/>
        <w:jc w:val="both"/>
        <w:rPr>
          <w:rFonts w:ascii="Times New Roman" w:hAnsi="Times New Roman"/>
          <w:b/>
          <w:sz w:val="24"/>
          <w:szCs w:val="24"/>
        </w:rPr>
      </w:pPr>
      <w:r w:rsidRPr="000C3750">
        <w:rPr>
          <w:rFonts w:ascii="Times New Roman" w:hAnsi="Times New Roman"/>
          <w:b/>
          <w:sz w:val="24"/>
          <w:szCs w:val="24"/>
        </w:rPr>
        <w:t>Determination of Lime Requirements (LR) of Experimental Soils</w:t>
      </w:r>
    </w:p>
    <w:p w:rsidR="00A34732" w:rsidRPr="000C3750" w:rsidRDefault="009F341C" w:rsidP="00CA176A">
      <w:pPr>
        <w:spacing w:after="0" w:line="360" w:lineRule="auto"/>
        <w:jc w:val="both"/>
      </w:pPr>
      <w:r w:rsidRPr="000C3750">
        <w:rPr>
          <w:szCs w:val="24"/>
        </w:rPr>
        <w:t xml:space="preserve">According to the report by </w:t>
      </w:r>
      <w:proofErr w:type="spellStart"/>
      <w:r w:rsidRPr="000C3750">
        <w:rPr>
          <w:szCs w:val="24"/>
        </w:rPr>
        <w:t>Taye</w:t>
      </w:r>
      <w:proofErr w:type="spellEnd"/>
      <w:r w:rsidRPr="000C3750">
        <w:rPr>
          <w:szCs w:val="24"/>
        </w:rPr>
        <w:t xml:space="preserve"> </w:t>
      </w:r>
      <w:r w:rsidRPr="000C3750">
        <w:rPr>
          <w:i/>
          <w:szCs w:val="24"/>
        </w:rPr>
        <w:t>et al</w:t>
      </w:r>
      <w:r w:rsidRPr="000C3750">
        <w:rPr>
          <w:szCs w:val="24"/>
        </w:rPr>
        <w:t>. (2002), the soil liming requirement</w:t>
      </w:r>
      <w:r w:rsidRPr="000C3750">
        <w:t xml:space="preserve"> </w:t>
      </w:r>
      <w:r w:rsidRPr="000C3750">
        <w:rPr>
          <w:szCs w:val="24"/>
        </w:rPr>
        <w:t xml:space="preserve">has been adopted for Ethiopian soils based on the analysis results of exchangeable acid and effective CEC to be equivalent in the following formula. </w:t>
      </w:r>
      <w:r w:rsidRPr="000C3750">
        <w:t xml:space="preserve">LR = </w:t>
      </w:r>
      <w:r>
        <w:rPr>
          <w:position w:val="-28"/>
        </w:rPr>
        <w:object w:dxaOrig="22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5pt;height:31.8pt" o:ole="">
            <v:imagedata r:id="rId8" o:title=""/>
          </v:shape>
          <o:OLEObject Type="Embed" ProgID="Equation.3" ShapeID="_x0000_i1025" DrawAspect="Content" ObjectID="_1771076847" r:id="rId9"/>
        </w:object>
      </w:r>
      <w:r w:rsidRPr="000C3750">
        <w:t>Where LR = lime requirement in kg ha</w:t>
      </w:r>
      <w:r w:rsidRPr="000C3750">
        <w:rPr>
          <w:vertAlign w:val="superscript"/>
        </w:rPr>
        <w:t>-1</w:t>
      </w:r>
      <w:r w:rsidRPr="000C3750">
        <w:t xml:space="preserve">, Exch. A is the exchangeable acidity in </w:t>
      </w:r>
      <w:proofErr w:type="spellStart"/>
      <w:r w:rsidRPr="000C3750">
        <w:t>Cmol</w:t>
      </w:r>
      <w:proofErr w:type="spellEnd"/>
      <w:r w:rsidRPr="000C3750">
        <w:t xml:space="preserve"> (+) kg</w:t>
      </w:r>
      <w:r w:rsidRPr="000C3750">
        <w:rPr>
          <w:vertAlign w:val="superscript"/>
        </w:rPr>
        <w:t>-1</w:t>
      </w:r>
      <w:r w:rsidRPr="000C3750">
        <w:t>, BD is bulk density in kg m</w:t>
      </w:r>
      <w:r w:rsidRPr="000C3750">
        <w:rPr>
          <w:vertAlign w:val="superscript"/>
        </w:rPr>
        <w:t>-3</w:t>
      </w:r>
      <w:r w:rsidRPr="000C3750">
        <w:t>.</w:t>
      </w:r>
    </w:p>
    <w:p w:rsidR="00901E5B" w:rsidRPr="000C3750" w:rsidRDefault="002C7F7C" w:rsidP="00CA176A">
      <w:pPr>
        <w:spacing w:after="0" w:line="360" w:lineRule="auto"/>
        <w:jc w:val="both"/>
        <w:rPr>
          <w:szCs w:val="24"/>
        </w:rPr>
      </w:pPr>
      <w:r w:rsidRPr="000C3750">
        <w:lastRenderedPageBreak/>
        <w:t xml:space="preserve"> </w:t>
      </w:r>
      <w:r w:rsidR="00901E5B" w:rsidRPr="000C3750">
        <w:rPr>
          <w:szCs w:val="24"/>
        </w:rPr>
        <w:t xml:space="preserve">The quantity of exchangeable acidity used in these calculations of lime requirements of the soils of the study sites is shown in </w:t>
      </w:r>
      <w:r w:rsidR="00901E5B" w:rsidRPr="000C3750">
        <w:rPr>
          <w:b/>
          <w:szCs w:val="24"/>
        </w:rPr>
        <w:t>Table 1</w:t>
      </w:r>
      <w:r w:rsidR="00901E5B" w:rsidRPr="000C3750">
        <w:rPr>
          <w:szCs w:val="24"/>
        </w:rPr>
        <w:t>. Consequently, the lime requirements of both sites were found to be similar which 3.0 t ha</w:t>
      </w:r>
      <w:r w:rsidR="00901E5B" w:rsidRPr="000C3750">
        <w:rPr>
          <w:szCs w:val="24"/>
          <w:vertAlign w:val="superscript"/>
        </w:rPr>
        <w:t>-1</w:t>
      </w:r>
      <w:r w:rsidR="00901E5B" w:rsidRPr="000C3750">
        <w:rPr>
          <w:szCs w:val="24"/>
        </w:rPr>
        <w:t>.</w:t>
      </w:r>
    </w:p>
    <w:p w:rsidR="00901E5B" w:rsidRPr="000C3750" w:rsidRDefault="00901E5B" w:rsidP="00CA176A">
      <w:pPr>
        <w:pStyle w:val="ListParagraph"/>
        <w:numPr>
          <w:ilvl w:val="1"/>
          <w:numId w:val="16"/>
        </w:numPr>
        <w:tabs>
          <w:tab w:val="left" w:pos="450"/>
          <w:tab w:val="left" w:pos="540"/>
        </w:tabs>
        <w:spacing w:after="0" w:line="360" w:lineRule="auto"/>
        <w:jc w:val="both"/>
        <w:rPr>
          <w:rFonts w:ascii="Times New Roman" w:hAnsi="Times New Roman"/>
          <w:b/>
          <w:sz w:val="24"/>
          <w:szCs w:val="24"/>
        </w:rPr>
      </w:pPr>
      <w:r w:rsidRPr="000C3750">
        <w:rPr>
          <w:rFonts w:ascii="Times New Roman" w:hAnsi="Times New Roman"/>
          <w:b/>
          <w:sz w:val="24"/>
          <w:szCs w:val="24"/>
        </w:rPr>
        <w:t xml:space="preserve">Treatments and Experimental Design </w:t>
      </w:r>
    </w:p>
    <w:p w:rsidR="00870EB6" w:rsidRPr="000C3750" w:rsidRDefault="00901E5B" w:rsidP="00CA176A">
      <w:pPr>
        <w:spacing w:after="0" w:line="360" w:lineRule="auto"/>
        <w:jc w:val="both"/>
        <w:rPr>
          <w:szCs w:val="24"/>
        </w:rPr>
      </w:pPr>
      <w:r w:rsidRPr="000C3750">
        <w:rPr>
          <w:szCs w:val="24"/>
        </w:rPr>
        <w:t>A factorial experiment consisting of four rates of P fertilizer (0, 10, 20 and 30 kg P ha</w:t>
      </w:r>
      <w:r w:rsidRPr="000C3750">
        <w:rPr>
          <w:szCs w:val="24"/>
          <w:vertAlign w:val="superscript"/>
        </w:rPr>
        <w:t>-1</w:t>
      </w:r>
      <w:r w:rsidRPr="000C3750">
        <w:rPr>
          <w:szCs w:val="24"/>
        </w:rPr>
        <w:t>) and three rate of lime (0.0, 1.5 and 3 tha</w:t>
      </w:r>
      <w:r w:rsidRPr="000C3750">
        <w:rPr>
          <w:szCs w:val="24"/>
          <w:vertAlign w:val="superscript"/>
        </w:rPr>
        <w:t>-1</w:t>
      </w:r>
      <w:r w:rsidRPr="000C3750">
        <w:rPr>
          <w:szCs w:val="24"/>
        </w:rPr>
        <w:t>) was laid out in randomized complete block design with three replications. Triple superphosphate (20% P) and high quality limestone (98% CaCO</w:t>
      </w:r>
      <w:r w:rsidRPr="000C3750">
        <w:rPr>
          <w:szCs w:val="24"/>
          <w:vertAlign w:val="subscript"/>
        </w:rPr>
        <w:t>3</w:t>
      </w:r>
      <w:r w:rsidRPr="000C3750">
        <w:rPr>
          <w:szCs w:val="24"/>
        </w:rPr>
        <w:t xml:space="preserve">, 99.5% &lt;250 µm in diameter) were used as a source of P and liming material, respectively. Gross plot size of 3m </w:t>
      </w:r>
      <w:r>
        <w:rPr>
          <w:szCs w:val="24"/>
        </w:rPr>
        <w:sym w:font="Symbol" w:char="F0B4"/>
      </w:r>
      <w:r w:rsidRPr="000C3750">
        <w:rPr>
          <w:szCs w:val="24"/>
        </w:rPr>
        <w:t xml:space="preserve"> 4 m (12 m</w:t>
      </w:r>
      <w:r w:rsidRPr="000C3750">
        <w:rPr>
          <w:szCs w:val="24"/>
          <w:vertAlign w:val="superscript"/>
        </w:rPr>
        <w:t>2</w:t>
      </w:r>
      <w:r w:rsidRPr="000C3750">
        <w:rPr>
          <w:szCs w:val="24"/>
        </w:rPr>
        <w:t>) with net plot size of 2.5m</w:t>
      </w:r>
      <w:r>
        <w:rPr>
          <w:szCs w:val="24"/>
        </w:rPr>
        <w:sym w:font="Symbol" w:char="F0B4"/>
      </w:r>
      <w:r w:rsidRPr="000C3750">
        <w:rPr>
          <w:szCs w:val="24"/>
        </w:rPr>
        <w:t>3.5m (8.75m</w:t>
      </w:r>
      <w:r w:rsidRPr="000C3750">
        <w:rPr>
          <w:szCs w:val="24"/>
          <w:vertAlign w:val="superscript"/>
        </w:rPr>
        <w:t>2</w:t>
      </w:r>
      <w:r w:rsidRPr="000C3750">
        <w:rPr>
          <w:szCs w:val="24"/>
        </w:rPr>
        <w:t xml:space="preserve">) was used in this experiment with a spacing of 0.5 m between the plots and 1 m between the blocks. </w:t>
      </w:r>
    </w:p>
    <w:p w:rsidR="00901E5B" w:rsidRPr="000C3750" w:rsidRDefault="00901E5B" w:rsidP="00CA176A">
      <w:pPr>
        <w:pStyle w:val="ListParagraph"/>
        <w:numPr>
          <w:ilvl w:val="1"/>
          <w:numId w:val="16"/>
        </w:numPr>
        <w:spacing w:after="0" w:line="360" w:lineRule="auto"/>
        <w:jc w:val="both"/>
        <w:rPr>
          <w:rFonts w:ascii="Times New Roman" w:hAnsi="Times New Roman"/>
          <w:b/>
          <w:sz w:val="24"/>
          <w:szCs w:val="24"/>
        </w:rPr>
      </w:pPr>
      <w:r w:rsidRPr="000C3750">
        <w:rPr>
          <w:rFonts w:ascii="Times New Roman" w:hAnsi="Times New Roman"/>
          <w:b/>
          <w:sz w:val="24"/>
          <w:szCs w:val="24"/>
        </w:rPr>
        <w:t xml:space="preserve">Experimental Procedure and Field Management </w:t>
      </w:r>
    </w:p>
    <w:p w:rsidR="00901E5B" w:rsidRPr="000C3750" w:rsidRDefault="00901E5B" w:rsidP="00CA176A">
      <w:pPr>
        <w:spacing w:after="0" w:line="360" w:lineRule="auto"/>
        <w:jc w:val="both"/>
        <w:rPr>
          <w:szCs w:val="24"/>
        </w:rPr>
      </w:pPr>
      <w:r>
        <w:rPr>
          <w:szCs w:val="24"/>
        </w:rPr>
        <w:t>At both locations, the total area of land required for the experiment was marked and ploughed by oxen as required frequencies. The final preparation of the land for lime incorporation and malt barley seed sowing was then carried out manually with a hand rake. Following the preparation of the terrain, the experimental field was laid out, and the plots for each treatment were marked according to the design. Then lime was incorporated into the plots according to treatment at a depth of 20 cm, one month before the sown malt barley to give enough time for the lime to react and neutralize the acids in the soils at both locations.</w:t>
      </w:r>
    </w:p>
    <w:p w:rsidR="00901E5B" w:rsidRPr="000C3750" w:rsidRDefault="00901E5B" w:rsidP="00CA176A">
      <w:pPr>
        <w:spacing w:after="0" w:line="360" w:lineRule="auto"/>
        <w:jc w:val="both"/>
        <w:rPr>
          <w:szCs w:val="24"/>
        </w:rPr>
      </w:pPr>
      <w:r w:rsidRPr="000C3750">
        <w:rPr>
          <w:szCs w:val="24"/>
        </w:rPr>
        <w:t>The malt</w:t>
      </w:r>
      <w:r w:rsidRPr="000C3750">
        <w:rPr>
          <w:iCs/>
          <w:szCs w:val="24"/>
        </w:rPr>
        <w:t xml:space="preserve"> barley variety, </w:t>
      </w:r>
      <w:r w:rsidRPr="000C3750">
        <w:rPr>
          <w:i/>
          <w:iCs/>
          <w:szCs w:val="24"/>
        </w:rPr>
        <w:t>Bekoji-1,</w:t>
      </w:r>
      <w:r w:rsidRPr="000C3750">
        <w:rPr>
          <w:iCs/>
          <w:szCs w:val="24"/>
        </w:rPr>
        <w:t xml:space="preserve"> which was released for production around the study areas, was seeded by hand drilling in each plot in rows 20 cm apart at a seed rate of 75 kg ha</w:t>
      </w:r>
      <w:r w:rsidRPr="000C3750">
        <w:rPr>
          <w:iCs/>
          <w:szCs w:val="24"/>
          <w:vertAlign w:val="superscript"/>
        </w:rPr>
        <w:t>-1</w:t>
      </w:r>
      <w:r w:rsidRPr="000C3750">
        <w:rPr>
          <w:iCs/>
          <w:szCs w:val="24"/>
        </w:rPr>
        <w:t>. The entire dose of phosphorus fertilizer was applied at sowing according to the treatment. Half of the recommended dose of nitrogen fertilizer (23 kg N ha</w:t>
      </w:r>
      <w:r w:rsidRPr="000C3750">
        <w:rPr>
          <w:iCs/>
          <w:szCs w:val="24"/>
          <w:vertAlign w:val="superscript"/>
        </w:rPr>
        <w:t>-1</w:t>
      </w:r>
      <w:r w:rsidRPr="000C3750">
        <w:rPr>
          <w:iCs/>
          <w:szCs w:val="24"/>
        </w:rPr>
        <w:t>) in the form of urea (46 % N) was applied uniformly in all plots at planting and the remaining half (23 kg N ha</w:t>
      </w:r>
      <w:r w:rsidRPr="000C3750">
        <w:rPr>
          <w:iCs/>
          <w:szCs w:val="24"/>
          <w:vertAlign w:val="superscript"/>
        </w:rPr>
        <w:t>-1</w:t>
      </w:r>
      <w:r w:rsidRPr="000C3750">
        <w:rPr>
          <w:iCs/>
          <w:szCs w:val="24"/>
        </w:rPr>
        <w:t xml:space="preserve">) was applied as a side dressing in all plots uniformly 45 days after sowing. </w:t>
      </w:r>
      <w:r w:rsidRPr="000C3750">
        <w:rPr>
          <w:szCs w:val="24"/>
        </w:rPr>
        <w:t>All agronomic management of the experiment, such as the management of weeding, pests, and disease of the crop, was done according to the recommendation for barley production (EIAR, 2007).</w:t>
      </w:r>
    </w:p>
    <w:p w:rsidR="00FD738C" w:rsidRPr="000C3750" w:rsidRDefault="00FD738C" w:rsidP="00CA176A">
      <w:pPr>
        <w:pStyle w:val="ListParagraph"/>
        <w:numPr>
          <w:ilvl w:val="1"/>
          <w:numId w:val="16"/>
        </w:numPr>
        <w:tabs>
          <w:tab w:val="left" w:pos="450"/>
        </w:tabs>
        <w:spacing w:after="0" w:line="360" w:lineRule="auto"/>
        <w:jc w:val="both"/>
        <w:rPr>
          <w:rFonts w:ascii="Times New Roman" w:hAnsi="Times New Roman"/>
          <w:b/>
          <w:sz w:val="24"/>
          <w:szCs w:val="24"/>
        </w:rPr>
      </w:pPr>
      <w:r w:rsidRPr="000C3750">
        <w:rPr>
          <w:rFonts w:ascii="Times New Roman" w:hAnsi="Times New Roman"/>
          <w:b/>
          <w:sz w:val="24"/>
          <w:szCs w:val="24"/>
        </w:rPr>
        <w:t>Soil Sample and Analyses</w:t>
      </w:r>
    </w:p>
    <w:p w:rsidR="00FD738C" w:rsidRPr="000C3750" w:rsidRDefault="00FD738C" w:rsidP="00CA176A">
      <w:pPr>
        <w:spacing w:after="0" w:line="360" w:lineRule="auto"/>
        <w:jc w:val="both"/>
        <w:rPr>
          <w:szCs w:val="24"/>
        </w:rPr>
      </w:pPr>
      <w:r>
        <w:rPr>
          <w:szCs w:val="24"/>
        </w:rPr>
        <w:t xml:space="preserve">After harvesting the crop, composite soil samples were collected from each plot using an auger to a depth of 0-20cm and brought to the </w:t>
      </w:r>
      <w:proofErr w:type="spellStart"/>
      <w:r>
        <w:rPr>
          <w:szCs w:val="24"/>
        </w:rPr>
        <w:t>Kulumsa</w:t>
      </w:r>
      <w:proofErr w:type="spellEnd"/>
      <w:r>
        <w:rPr>
          <w:szCs w:val="24"/>
        </w:rPr>
        <w:t xml:space="preserve"> soil laboratory where the samples were processed and analyzed for selected chemical properties, namely p</w:t>
      </w:r>
      <w:r>
        <w:rPr>
          <w:szCs w:val="24"/>
          <w:vertAlign w:val="superscript"/>
        </w:rPr>
        <w:t>H</w:t>
      </w:r>
      <w:r>
        <w:rPr>
          <w:szCs w:val="24"/>
        </w:rPr>
        <w:t xml:space="preserve">, exchangeable acidity, </w:t>
      </w:r>
      <w:r>
        <w:rPr>
          <w:szCs w:val="24"/>
        </w:rPr>
        <w:lastRenderedPageBreak/>
        <w:t>available P (</w:t>
      </w:r>
      <w:proofErr w:type="spellStart"/>
      <w:r>
        <w:rPr>
          <w:szCs w:val="24"/>
        </w:rPr>
        <w:t>av.P</w:t>
      </w:r>
      <w:proofErr w:type="spellEnd"/>
      <w:r>
        <w:rPr>
          <w:szCs w:val="24"/>
        </w:rPr>
        <w:t xml:space="preserve">), CEC, and exchangeable </w:t>
      </w:r>
      <w:proofErr w:type="spellStart"/>
      <w:r>
        <w:rPr>
          <w:szCs w:val="24"/>
        </w:rPr>
        <w:t>cations</w:t>
      </w:r>
      <w:proofErr w:type="spellEnd"/>
      <w:r>
        <w:rPr>
          <w:szCs w:val="24"/>
        </w:rPr>
        <w:t xml:space="preserve"> (</w:t>
      </w:r>
      <w:proofErr w:type="spellStart"/>
      <w:r>
        <w:rPr>
          <w:szCs w:val="24"/>
        </w:rPr>
        <w:t>Ca</w:t>
      </w:r>
      <w:proofErr w:type="spellEnd"/>
      <w:r>
        <w:rPr>
          <w:szCs w:val="24"/>
        </w:rPr>
        <w:t>, K, Na and Mg). The soil p</w:t>
      </w:r>
      <w:r>
        <w:rPr>
          <w:szCs w:val="24"/>
          <w:vertAlign w:val="superscript"/>
        </w:rPr>
        <w:t>H</w:t>
      </w:r>
      <w:r>
        <w:rPr>
          <w:szCs w:val="24"/>
        </w:rPr>
        <w:t xml:space="preserve"> was measured in 1: 2.5 soils in a water suspension using a p</w:t>
      </w:r>
      <w:r>
        <w:rPr>
          <w:szCs w:val="24"/>
          <w:vertAlign w:val="superscript"/>
        </w:rPr>
        <w:t>H</w:t>
      </w:r>
      <w:r>
        <w:rPr>
          <w:szCs w:val="24"/>
        </w:rPr>
        <w:t xml:space="preserve"> meter and </w:t>
      </w:r>
      <w:proofErr w:type="spellStart"/>
      <w:r>
        <w:rPr>
          <w:szCs w:val="24"/>
        </w:rPr>
        <w:t>Taye</w:t>
      </w:r>
      <w:proofErr w:type="spellEnd"/>
      <w:r>
        <w:rPr>
          <w:szCs w:val="24"/>
        </w:rPr>
        <w:t xml:space="preserve"> (1993). Exchangeable acidity was determined following the procedures described by Jones (2001), available P was determined using the Olson method as described by Jones (2001), and CEC and exchangeable </w:t>
      </w:r>
      <w:proofErr w:type="spellStart"/>
      <w:r>
        <w:rPr>
          <w:szCs w:val="24"/>
        </w:rPr>
        <w:t>cations</w:t>
      </w:r>
      <w:proofErr w:type="spellEnd"/>
      <w:r>
        <w:rPr>
          <w:szCs w:val="24"/>
        </w:rPr>
        <w:t xml:space="preserve"> were determined using the 1.0 M NH</w:t>
      </w:r>
      <w:r>
        <w:rPr>
          <w:szCs w:val="24"/>
          <w:vertAlign w:val="subscript"/>
        </w:rPr>
        <w:t>4</w:t>
      </w:r>
      <w:r>
        <w:rPr>
          <w:szCs w:val="24"/>
        </w:rPr>
        <w:t xml:space="preserve">OAc method. </w:t>
      </w:r>
    </w:p>
    <w:p w:rsidR="00901E5B" w:rsidRPr="000C3750" w:rsidRDefault="00901E5B" w:rsidP="00CA176A">
      <w:pPr>
        <w:pStyle w:val="ListParagraph"/>
        <w:numPr>
          <w:ilvl w:val="1"/>
          <w:numId w:val="16"/>
        </w:numPr>
        <w:tabs>
          <w:tab w:val="left" w:pos="450"/>
        </w:tabs>
        <w:spacing w:after="0" w:line="360" w:lineRule="auto"/>
        <w:jc w:val="both"/>
        <w:rPr>
          <w:rFonts w:ascii="Times New Roman" w:hAnsi="Times New Roman"/>
          <w:b/>
          <w:sz w:val="24"/>
          <w:szCs w:val="24"/>
        </w:rPr>
      </w:pPr>
      <w:r w:rsidRPr="000C3750">
        <w:rPr>
          <w:rFonts w:ascii="Times New Roman" w:hAnsi="Times New Roman"/>
          <w:b/>
          <w:sz w:val="24"/>
          <w:szCs w:val="24"/>
        </w:rPr>
        <w:t>Crop Data Collected</w:t>
      </w:r>
    </w:p>
    <w:p w:rsidR="00A82339" w:rsidRPr="000C3750" w:rsidRDefault="005A5592" w:rsidP="00CA176A">
      <w:pPr>
        <w:pStyle w:val="ListParagraph"/>
        <w:numPr>
          <w:ilvl w:val="2"/>
          <w:numId w:val="16"/>
        </w:numPr>
        <w:spacing w:after="0" w:line="360" w:lineRule="auto"/>
        <w:jc w:val="both"/>
        <w:rPr>
          <w:rFonts w:ascii="Times New Roman" w:eastAsiaTheme="minorHAnsi" w:hAnsi="Times New Roman"/>
          <w:b/>
          <w:sz w:val="24"/>
          <w:szCs w:val="24"/>
        </w:rPr>
      </w:pPr>
      <w:r w:rsidRPr="000C3750">
        <w:rPr>
          <w:rFonts w:ascii="Times New Roman" w:eastAsiaTheme="minorHAnsi" w:hAnsi="Times New Roman"/>
          <w:b/>
          <w:sz w:val="24"/>
          <w:szCs w:val="24"/>
        </w:rPr>
        <w:t>Agronomic parameters</w:t>
      </w:r>
    </w:p>
    <w:p w:rsidR="007E604B" w:rsidRPr="000C3750" w:rsidRDefault="005A5592" w:rsidP="00CA176A">
      <w:pPr>
        <w:autoSpaceDE w:val="0"/>
        <w:autoSpaceDN w:val="0"/>
        <w:adjustRightInd w:val="0"/>
        <w:spacing w:after="0" w:line="360" w:lineRule="auto"/>
        <w:jc w:val="both"/>
        <w:rPr>
          <w:szCs w:val="24"/>
        </w:rPr>
      </w:pPr>
      <w:proofErr w:type="spellStart"/>
      <w:r w:rsidRPr="000C3750">
        <w:rPr>
          <w:szCs w:val="24"/>
        </w:rPr>
        <w:t>Phenological</w:t>
      </w:r>
      <w:proofErr w:type="spellEnd"/>
      <w:r w:rsidRPr="000C3750">
        <w:rPr>
          <w:szCs w:val="24"/>
        </w:rPr>
        <w:t xml:space="preserve"> data was collected from the net plot area of ten randomly selected plants. The height of the plant, the number of tillers per plant, the length of the spike, and the number of kernels per spike were recorded from each plot. The height of the plant was recorded from ground level to the top of the spike, excluding awns.</w:t>
      </w:r>
    </w:p>
    <w:p w:rsidR="005A5592" w:rsidRPr="000C3750" w:rsidRDefault="007E604B" w:rsidP="00CA176A">
      <w:pPr>
        <w:spacing w:after="0" w:line="360" w:lineRule="auto"/>
        <w:jc w:val="both"/>
        <w:rPr>
          <w:szCs w:val="24"/>
        </w:rPr>
      </w:pPr>
      <w:r w:rsidRPr="000C3750">
        <w:rPr>
          <w:szCs w:val="24"/>
        </w:rPr>
        <w:t xml:space="preserve">After collecting these data, the crop was harvested and the above-ground biomass yield (AGBY) of the test crop (malt barley) in each plot was dried and weighed; and recorded. The AGBY harvested from each plot was then threshed and the grains were separated from the straw, followed by weighing the grain (GY) and the straw (SY). The seeds were weighed and the moisture content was determined in the laboratory after adjusting the moisture to a level of 12.5 %. The harvest index was calculated as the percentage ratio of grain yield to total dry biomass above ground yield. The weight of a thousand kernels weight was determined using the seed counter and weighting a 1000 seed sample taken from each plot. </w:t>
      </w:r>
    </w:p>
    <w:p w:rsidR="00DA1D38" w:rsidRPr="000C3750" w:rsidRDefault="00B338AB" w:rsidP="00CA176A">
      <w:pPr>
        <w:spacing w:after="0" w:line="360" w:lineRule="auto"/>
        <w:jc w:val="both"/>
        <w:rPr>
          <w:szCs w:val="24"/>
        </w:rPr>
      </w:pPr>
      <w:r>
        <w:rPr>
          <w:szCs w:val="24"/>
        </w:rPr>
        <w:t>The total and effective number of tillers was determined at physiological maturity of the crop by counting two rows of 0.5 m long from the net plot randomly selected and converted to m</w:t>
      </w:r>
      <w:r>
        <w:rPr>
          <w:szCs w:val="24"/>
          <w:vertAlign w:val="superscript"/>
        </w:rPr>
        <w:t>2</w:t>
      </w:r>
      <w:r>
        <w:rPr>
          <w:szCs w:val="24"/>
        </w:rPr>
        <w:t xml:space="preserve">. The number of kernels per spike was determined by counting from randomly taken 10 spikes per plot at maturity and averaged to per spike. The weight of 1000 kernels (g) was determined by </w:t>
      </w:r>
      <w:r>
        <w:rPr>
          <w:rFonts w:eastAsia="Times New Roman"/>
          <w:bCs/>
          <w:szCs w:val="24"/>
        </w:rPr>
        <w:t xml:space="preserve">counting </w:t>
      </w:r>
      <w:r>
        <w:rPr>
          <w:szCs w:val="24"/>
        </w:rPr>
        <w:t>1000 kernels sampled from each net plot using an</w:t>
      </w:r>
      <w:r>
        <w:rPr>
          <w:rFonts w:eastAsia="Times New Roman"/>
          <w:bCs/>
          <w:szCs w:val="24"/>
        </w:rPr>
        <w:t xml:space="preserve"> electronic seed counter </w:t>
      </w:r>
      <w:r>
        <w:rPr>
          <w:szCs w:val="24"/>
        </w:rPr>
        <w:t>from the net plot and weighed using a sensitive balance, and then the weight was adjusted to 12.5% moisture content. The aboveground biomass (kg ha</w:t>
      </w:r>
      <w:r>
        <w:rPr>
          <w:szCs w:val="24"/>
          <w:vertAlign w:val="superscript"/>
        </w:rPr>
        <w:t>-1</w:t>
      </w:r>
      <w:r>
        <w:rPr>
          <w:szCs w:val="24"/>
        </w:rPr>
        <w:t>) was determined by weighing the aboveground biomass per net plot area after drying in the sun for five days. The grain yield (kg ha</w:t>
      </w:r>
      <w:r>
        <w:rPr>
          <w:szCs w:val="24"/>
          <w:vertAlign w:val="superscript"/>
        </w:rPr>
        <w:t>-1</w:t>
      </w:r>
      <w:r>
        <w:rPr>
          <w:szCs w:val="24"/>
        </w:rPr>
        <w:t>) was determined after threshing the sundried above-ground biomass was threshed by weighing using a sensitive balance and the grain yield was adjusted to a moisture content of 12.5%.</w:t>
      </w:r>
    </w:p>
    <w:p w:rsidR="00D40028" w:rsidRPr="000C3750" w:rsidRDefault="00D40028" w:rsidP="00CA176A">
      <w:pPr>
        <w:pStyle w:val="ListParagraph"/>
        <w:numPr>
          <w:ilvl w:val="2"/>
          <w:numId w:val="16"/>
        </w:numPr>
        <w:spacing w:after="0" w:line="360" w:lineRule="auto"/>
        <w:jc w:val="both"/>
        <w:rPr>
          <w:rFonts w:ascii="Times New Roman" w:eastAsiaTheme="minorHAnsi" w:hAnsi="Times New Roman"/>
          <w:b/>
          <w:sz w:val="24"/>
          <w:szCs w:val="24"/>
        </w:rPr>
      </w:pPr>
      <w:r w:rsidRPr="000C3750">
        <w:rPr>
          <w:rFonts w:ascii="Times New Roman" w:eastAsiaTheme="minorHAnsi" w:hAnsi="Times New Roman"/>
          <w:b/>
          <w:sz w:val="24"/>
          <w:szCs w:val="24"/>
        </w:rPr>
        <w:t>Grain Quality Parameters</w:t>
      </w:r>
    </w:p>
    <w:p w:rsidR="00D40028" w:rsidRPr="000C3750" w:rsidRDefault="00D40028" w:rsidP="00CA176A">
      <w:pPr>
        <w:autoSpaceDE w:val="0"/>
        <w:autoSpaceDN w:val="0"/>
        <w:adjustRightInd w:val="0"/>
        <w:spacing w:after="0" w:line="360" w:lineRule="auto"/>
        <w:jc w:val="both"/>
        <w:rPr>
          <w:szCs w:val="24"/>
        </w:rPr>
      </w:pPr>
      <w:r w:rsidRPr="000C3750">
        <w:rPr>
          <w:szCs w:val="24"/>
        </w:rPr>
        <w:lastRenderedPageBreak/>
        <w:t xml:space="preserve">Protein content analysis was performed in the Asella Malt Factory laboratory. The weights of thousands of kernels (g) were measured by taking the mass of the thousand kernels counted using a sensitive electronic balance. </w:t>
      </w:r>
      <w:r w:rsidRPr="000C3750">
        <w:t>Hectoliter weight (kg hl</w:t>
      </w:r>
      <w:r w:rsidRPr="000C3750">
        <w:rPr>
          <w:vertAlign w:val="superscript"/>
        </w:rPr>
        <w:t>-1</w:t>
      </w:r>
      <w:r w:rsidRPr="000C3750">
        <w:t>) was determined on dockage free samples using a standard laboratory hectoliter weight apparatus (grain analysis computer (GAC) as described in the AACC (2000) method. The germination</w:t>
      </w:r>
      <w:r w:rsidRPr="000C3750">
        <w:rPr>
          <w:szCs w:val="24"/>
        </w:rPr>
        <w:t xml:space="preserve"> capacity (%) was determined by soaking 200 seeds in 0.3 M H</w:t>
      </w:r>
      <w:r w:rsidRPr="000C3750">
        <w:rPr>
          <w:szCs w:val="24"/>
          <w:vertAlign w:val="subscript"/>
        </w:rPr>
        <w:t>2</w:t>
      </w:r>
      <w:r w:rsidRPr="000C3750">
        <w:rPr>
          <w:szCs w:val="24"/>
        </w:rPr>
        <w:t>O and counting the germinated seeds after 48 hours and finally changed to %. Germination energy is the percentage of seeds germinated in 48. The grain protein content (%) and the moisture content (%) were measured using the apparatus (grain analysis computer (GAC) 2100) (processing protein analysis computer) as described in the AACC (2000) method. The sieve test (%) was measured by placing 100 grams of the grain sample at the top of the sieve (&gt;2.8mm,&gt;2.5mm, &gt;2.2mm, and &lt;2.2mm sieve sizes) and the grain was sieved into four fractions in 5 minutes. The four fractions were weighted at each sieve size. The grains were graded by size using slotted sieves (2.8, 2.5 and 2.2mm apertures) following the standard procedure of the Asella Malt Factory laboratory.</w:t>
      </w:r>
    </w:p>
    <w:p w:rsidR="00901E5B" w:rsidRPr="000C3750" w:rsidRDefault="00901E5B" w:rsidP="00CA176A">
      <w:pPr>
        <w:numPr>
          <w:ilvl w:val="1"/>
          <w:numId w:val="16"/>
        </w:numPr>
        <w:tabs>
          <w:tab w:val="left" w:pos="450"/>
        </w:tabs>
        <w:spacing w:after="0" w:line="360" w:lineRule="auto"/>
        <w:jc w:val="both"/>
        <w:rPr>
          <w:b/>
          <w:szCs w:val="24"/>
        </w:rPr>
      </w:pPr>
      <w:r w:rsidRPr="000C3750">
        <w:rPr>
          <w:b/>
          <w:szCs w:val="24"/>
        </w:rPr>
        <w:t xml:space="preserve">  Statistical data analysis  </w:t>
      </w:r>
    </w:p>
    <w:p w:rsidR="00A773D1" w:rsidRPr="000C3750" w:rsidRDefault="00A773D1" w:rsidP="00CA176A">
      <w:pPr>
        <w:tabs>
          <w:tab w:val="left" w:pos="4410"/>
        </w:tabs>
        <w:spacing w:after="0" w:line="360" w:lineRule="auto"/>
        <w:jc w:val="both"/>
        <w:rPr>
          <w:szCs w:val="24"/>
        </w:rPr>
      </w:pPr>
      <w:r>
        <w:rPr>
          <w:szCs w:val="24"/>
        </w:rPr>
        <w:t xml:space="preserve">Agronomic, grain quality, and post-harvest soil data were subjected to analysis of variance (GLM procedure) using SAS software program version 9.4 (SAS, 2015). The homogeneity of the variances was evaluated using the F-test as described by Gomez and Gomez (1984), and since the F-test showed homogeneity of the variances of the two locations for most of the agronomic parameters, a combined analysis was used for the two locations. Fisher's protected least significant difference (LSD) test at the probability level of 0.05 was used to separate treatment means where there were significant treatment differences. </w:t>
      </w:r>
    </w:p>
    <w:p w:rsidR="00901E5B" w:rsidRPr="000C3750" w:rsidRDefault="00901E5B" w:rsidP="00CA176A">
      <w:pPr>
        <w:numPr>
          <w:ilvl w:val="1"/>
          <w:numId w:val="16"/>
        </w:numPr>
        <w:tabs>
          <w:tab w:val="left" w:pos="450"/>
        </w:tabs>
        <w:spacing w:after="0" w:line="360" w:lineRule="auto"/>
        <w:jc w:val="both"/>
        <w:rPr>
          <w:b/>
          <w:bCs/>
          <w:szCs w:val="24"/>
        </w:rPr>
      </w:pPr>
      <w:r w:rsidRPr="000C3750">
        <w:rPr>
          <w:b/>
          <w:bCs/>
          <w:szCs w:val="24"/>
        </w:rPr>
        <w:t>Economic Analysis of Treatments' Effects</w:t>
      </w:r>
    </w:p>
    <w:p w:rsidR="00901E5B" w:rsidRPr="000C3750" w:rsidRDefault="00901E5B" w:rsidP="00CA176A">
      <w:pPr>
        <w:spacing w:after="0" w:line="360" w:lineRule="auto"/>
        <w:jc w:val="both"/>
        <w:rPr>
          <w:szCs w:val="24"/>
        </w:rPr>
      </w:pPr>
      <w:r>
        <w:rPr>
          <w:szCs w:val="24"/>
        </w:rPr>
        <w:t xml:space="preserve">A partial budget analysis was performed to determine the economic feasibility of phosphorus fertilizer and lime for barley production around study areas following procedures described in CIMMYT (1988). The mean grain yield data of barley was used for the economic analysis at the two sites. Furthermore, the grain yields obtained from each treatment were adjusted by 10% to narrow the possible yield gap that may occur due to differences in field management by the researcher and the famers. This is because, generally, researcher-managed fields give higher yield than famer-managed fields. </w:t>
      </w:r>
    </w:p>
    <w:p w:rsidR="00292FDF" w:rsidRPr="000C3750" w:rsidRDefault="00901E5B" w:rsidP="00CA176A">
      <w:pPr>
        <w:spacing w:after="0" w:line="360" w:lineRule="auto"/>
        <w:jc w:val="both"/>
        <w:rPr>
          <w:szCs w:val="24"/>
        </w:rPr>
      </w:pPr>
      <w:r>
        <w:rPr>
          <w:szCs w:val="24"/>
        </w:rPr>
        <w:lastRenderedPageBreak/>
        <w:t>The average prices of the relevant inputs required to perform the partial budget analyzes were collected from different sources. Consequently, the price of the triple superphosphate fertilizer that was used in this experiment was collected from the agricultural input supply corporation. Consequently, the TSP was 24.00 Ethiopian birr (ETB) kg</w:t>
      </w:r>
      <w:r>
        <w:rPr>
          <w:szCs w:val="24"/>
          <w:vertAlign w:val="superscript"/>
        </w:rPr>
        <w:t xml:space="preserve">-1 </w:t>
      </w:r>
      <w:proofErr w:type="spellStart"/>
      <w:r>
        <w:rPr>
          <w:szCs w:val="24"/>
        </w:rPr>
        <w:t>atthe</w:t>
      </w:r>
      <w:proofErr w:type="spellEnd"/>
      <w:r>
        <w:rPr>
          <w:szCs w:val="24"/>
        </w:rPr>
        <w:t xml:space="preserve"> time of sowing of the crop.  The market price of malt barley grain determined by the brewers in the 2017 season was </w:t>
      </w:r>
      <w:proofErr w:type="gramStart"/>
      <w:r>
        <w:rPr>
          <w:szCs w:val="24"/>
        </w:rPr>
        <w:t>15.00 ETB kg</w:t>
      </w:r>
      <w:r>
        <w:rPr>
          <w:szCs w:val="24"/>
          <w:vertAlign w:val="superscript"/>
        </w:rPr>
        <w:t>-1</w:t>
      </w:r>
      <w:proofErr w:type="gramEnd"/>
      <w:r>
        <w:rPr>
          <w:szCs w:val="24"/>
        </w:rPr>
        <w:t xml:space="preserve">. Furthermore, the market price of lime at the time of sowing of the crop was </w:t>
      </w:r>
      <w:proofErr w:type="gramStart"/>
      <w:r>
        <w:rPr>
          <w:szCs w:val="24"/>
        </w:rPr>
        <w:t>1.25 ETB kg</w:t>
      </w:r>
      <w:r>
        <w:rPr>
          <w:szCs w:val="24"/>
          <w:vertAlign w:val="superscript"/>
        </w:rPr>
        <w:t>-1</w:t>
      </w:r>
      <w:proofErr w:type="gramEnd"/>
      <w:r>
        <w:rPr>
          <w:szCs w:val="24"/>
        </w:rPr>
        <w:t>.</w:t>
      </w:r>
    </w:p>
    <w:p w:rsidR="00901E5B" w:rsidRPr="000C3750" w:rsidRDefault="00901E5B" w:rsidP="00CA176A">
      <w:pPr>
        <w:spacing w:after="0" w:line="360" w:lineRule="auto"/>
        <w:jc w:val="both"/>
        <w:rPr>
          <w:szCs w:val="24"/>
        </w:rPr>
      </w:pPr>
      <w:r w:rsidRPr="000C3750">
        <w:rPr>
          <w:szCs w:val="24"/>
        </w:rPr>
        <w:t>Based on the information above, the g</w:t>
      </w:r>
      <w:r w:rsidRPr="000C3750">
        <w:rPr>
          <w:bCs/>
          <w:szCs w:val="24"/>
        </w:rPr>
        <w:t>ross benefit due to grain yield (GBTGY</w:t>
      </w:r>
      <w:r w:rsidRPr="000C3750">
        <w:rPr>
          <w:szCs w:val="24"/>
        </w:rPr>
        <w:t xml:space="preserve">) was calculated by multiplying the average adjusted grain yield produced by each treatment by the field price of barley grain that farmers receive in the market. The price of the straw was also included in the benefit of the experiment. </w:t>
      </w:r>
      <w:r w:rsidRPr="000C3750">
        <w:rPr>
          <w:bCs/>
          <w:szCs w:val="24"/>
        </w:rPr>
        <w:t xml:space="preserve">Total variable costs (TVC), which refer to </w:t>
      </w:r>
      <w:r w:rsidRPr="000C3750">
        <w:rPr>
          <w:szCs w:val="24"/>
        </w:rPr>
        <w:t xml:space="preserve">the sum of all costs that vary for a particular treatment, were calculated for individual treatment based on the amount of fertilizer and lime applied, as well as the labor cost incurred to apply lime and phosphorus. </w:t>
      </w:r>
      <w:r w:rsidRPr="000C3750">
        <w:rPr>
          <w:bCs/>
          <w:szCs w:val="24"/>
        </w:rPr>
        <w:t xml:space="preserve">The net benefit (NB) of each treatment </w:t>
      </w:r>
      <w:r w:rsidRPr="000C3750">
        <w:rPr>
          <w:szCs w:val="24"/>
        </w:rPr>
        <w:t xml:space="preserve">was calculated by subtracting the total variable cost of each treatment from the gross benefit (GB) of the same treatment (GB- TVC). The marginal rate of return (MRR) was calculated as the ratio of differences between the net benefits of successive treatments and the difference between the total variable costs of successive treatments. </w:t>
      </w:r>
    </w:p>
    <w:p w:rsidR="00901E5B" w:rsidRPr="000C3750" w:rsidRDefault="00901E5B" w:rsidP="00CA176A">
      <w:pPr>
        <w:numPr>
          <w:ilvl w:val="0"/>
          <w:numId w:val="16"/>
        </w:numPr>
        <w:tabs>
          <w:tab w:val="left" w:pos="270"/>
        </w:tabs>
        <w:spacing w:after="0" w:line="360" w:lineRule="auto"/>
        <w:jc w:val="both"/>
        <w:rPr>
          <w:b/>
          <w:szCs w:val="24"/>
        </w:rPr>
      </w:pPr>
      <w:r w:rsidRPr="000C3750">
        <w:rPr>
          <w:b/>
          <w:szCs w:val="24"/>
        </w:rPr>
        <w:t>RESULTS AND DISCUSSION</w:t>
      </w:r>
    </w:p>
    <w:p w:rsidR="008C27DD" w:rsidRPr="000C3750" w:rsidRDefault="008C27DD" w:rsidP="00CA176A">
      <w:pPr>
        <w:pStyle w:val="ListParagraph"/>
        <w:numPr>
          <w:ilvl w:val="1"/>
          <w:numId w:val="16"/>
        </w:numPr>
        <w:tabs>
          <w:tab w:val="left" w:pos="450"/>
        </w:tabs>
        <w:spacing w:after="0" w:line="360" w:lineRule="auto"/>
        <w:jc w:val="both"/>
        <w:rPr>
          <w:rFonts w:ascii="Times New Roman" w:hAnsi="Times New Roman"/>
          <w:b/>
          <w:sz w:val="24"/>
          <w:szCs w:val="24"/>
        </w:rPr>
      </w:pPr>
      <w:r>
        <w:rPr>
          <w:rFonts w:ascii="Times New Roman" w:hAnsi="Times New Roman"/>
          <w:b/>
          <w:sz w:val="24"/>
          <w:szCs w:val="24"/>
        </w:rPr>
        <w:t>Effects of P and Lime on Selected Soil Chemical Properties After Harvesting</w:t>
      </w:r>
    </w:p>
    <w:p w:rsidR="008C27DD" w:rsidRPr="000C3750" w:rsidRDefault="008C27DD" w:rsidP="00CA176A">
      <w:pPr>
        <w:pStyle w:val="ListParagraph"/>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rPr>
        <w:t xml:space="preserve">The main effects of P, lime land location on soil chemical properties after harvest analyzes data of selected soil properties are summarized in </w:t>
      </w:r>
      <w:r>
        <w:rPr>
          <w:rFonts w:ascii="Times New Roman" w:hAnsi="Times New Roman"/>
          <w:b/>
          <w:sz w:val="24"/>
          <w:szCs w:val="24"/>
        </w:rPr>
        <w:t>Table 2</w:t>
      </w:r>
      <w:r>
        <w:rPr>
          <w:rFonts w:ascii="Times New Roman" w:hAnsi="Times New Roman"/>
          <w:sz w:val="24"/>
          <w:szCs w:val="24"/>
        </w:rPr>
        <w:t xml:space="preserve">. The P fertilizer has significantly improved the </w:t>
      </w:r>
      <w:proofErr w:type="spellStart"/>
      <w:r>
        <w:rPr>
          <w:rFonts w:ascii="Times New Roman" w:hAnsi="Times New Roman"/>
          <w:sz w:val="24"/>
          <w:szCs w:val="24"/>
        </w:rPr>
        <w:t>avP</w:t>
      </w:r>
      <w:proofErr w:type="spellEnd"/>
      <w:r>
        <w:rPr>
          <w:rFonts w:ascii="Times New Roman" w:hAnsi="Times New Roman"/>
          <w:sz w:val="24"/>
          <w:szCs w:val="24"/>
        </w:rPr>
        <w:t xml:space="preserve"> content of the soil and the amount of P available in the soil has increased significantly with increasing P application rates. Such increases in soil </w:t>
      </w:r>
      <w:proofErr w:type="spellStart"/>
      <w:r>
        <w:rPr>
          <w:rFonts w:ascii="Times New Roman" w:hAnsi="Times New Roman"/>
          <w:sz w:val="24"/>
          <w:szCs w:val="24"/>
        </w:rPr>
        <w:t>avP</w:t>
      </w:r>
      <w:proofErr w:type="spellEnd"/>
      <w:r>
        <w:rPr>
          <w:rFonts w:ascii="Times New Roman" w:hAnsi="Times New Roman"/>
          <w:sz w:val="24"/>
          <w:szCs w:val="24"/>
        </w:rPr>
        <w:t xml:space="preserve"> after harvest are expected, since the growing crop does not use</w:t>
      </w:r>
      <w:r>
        <w:rPr>
          <w:rFonts w:ascii="Times New Roman" w:hAnsi="Times New Roman"/>
        </w:rPr>
        <w:t xml:space="preserve"> </w:t>
      </w:r>
      <w:r>
        <w:rPr>
          <w:rFonts w:ascii="Times New Roman" w:hAnsi="Times New Roman"/>
          <w:sz w:val="24"/>
          <w:szCs w:val="24"/>
        </w:rPr>
        <w:t xml:space="preserve">the entire dose of applied P in one season and the amount of </w:t>
      </w:r>
      <w:proofErr w:type="spellStart"/>
      <w:r>
        <w:rPr>
          <w:rFonts w:ascii="Times New Roman" w:hAnsi="Times New Roman"/>
          <w:sz w:val="24"/>
          <w:szCs w:val="24"/>
        </w:rPr>
        <w:t>avP</w:t>
      </w:r>
      <w:proofErr w:type="spellEnd"/>
      <w:r>
        <w:rPr>
          <w:rFonts w:ascii="Times New Roman" w:hAnsi="Times New Roman"/>
          <w:sz w:val="24"/>
          <w:szCs w:val="24"/>
        </w:rPr>
        <w:t xml:space="preserve"> remaining in the soil after harvest is proportional to the amount of P applied externally as fertilizer. This result is in agreement with the finding of </w:t>
      </w:r>
      <w:proofErr w:type="spellStart"/>
      <w:r>
        <w:rPr>
          <w:rFonts w:ascii="Times New Roman" w:hAnsi="Times New Roman"/>
          <w:sz w:val="24"/>
          <w:szCs w:val="24"/>
        </w:rPr>
        <w:t>Temsgen</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(2016) who studied the effects of lime on strongly acid soil (pH&lt;5.0) in central Ethiopia on selected soil physicochemical properties (exchangeable aluminum [from 1.32 </w:t>
      </w:r>
      <w:proofErr w:type="spellStart"/>
      <w:r>
        <w:rPr>
          <w:rFonts w:ascii="Times New Roman" w:hAnsi="Times New Roman"/>
          <w:sz w:val="24"/>
          <w:szCs w:val="24"/>
        </w:rPr>
        <w:t>Cmol</w:t>
      </w:r>
      <w:proofErr w:type="spellEnd"/>
      <w:r>
        <w:rPr>
          <w:rFonts w:ascii="Times New Roman" w:hAnsi="Times New Roman"/>
          <w:sz w:val="24"/>
          <w:szCs w:val="24"/>
        </w:rPr>
        <w:t xml:space="preserve"> kg</w:t>
      </w:r>
      <w:r>
        <w:rPr>
          <w:rFonts w:ascii="Times New Roman" w:hAnsi="Times New Roman"/>
          <w:sz w:val="24"/>
          <w:szCs w:val="24"/>
          <w:vertAlign w:val="superscript"/>
        </w:rPr>
        <w:t>−1</w:t>
      </w:r>
      <w:r>
        <w:rPr>
          <w:rFonts w:ascii="Times New Roman" w:hAnsi="Times New Roman"/>
          <w:sz w:val="24"/>
          <w:szCs w:val="24"/>
        </w:rPr>
        <w:t xml:space="preserve"> to 0.12 </w:t>
      </w:r>
      <w:proofErr w:type="spellStart"/>
      <w:r>
        <w:rPr>
          <w:rFonts w:ascii="Times New Roman" w:hAnsi="Times New Roman"/>
          <w:sz w:val="24"/>
          <w:szCs w:val="24"/>
        </w:rPr>
        <w:t>Cmol</w:t>
      </w:r>
      <w:proofErr w:type="spellEnd"/>
      <w:r>
        <w:rPr>
          <w:rFonts w:ascii="Times New Roman" w:hAnsi="Times New Roman"/>
          <w:sz w:val="24"/>
          <w:szCs w:val="24"/>
        </w:rPr>
        <w:t xml:space="preserve"> kg</w:t>
      </w:r>
      <w:r>
        <w:rPr>
          <w:rFonts w:ascii="Times New Roman" w:hAnsi="Times New Roman"/>
          <w:sz w:val="24"/>
          <w:szCs w:val="24"/>
          <w:vertAlign w:val="superscript"/>
        </w:rPr>
        <w:t>−1</w:t>
      </w:r>
      <w:r>
        <w:rPr>
          <w:rFonts w:ascii="Times New Roman" w:hAnsi="Times New Roman"/>
          <w:sz w:val="24"/>
          <w:szCs w:val="24"/>
        </w:rPr>
        <w:t>] and soil p</w:t>
      </w:r>
      <w:r>
        <w:rPr>
          <w:rFonts w:ascii="Times New Roman" w:hAnsi="Times New Roman"/>
          <w:sz w:val="24"/>
          <w:szCs w:val="24"/>
          <w:vertAlign w:val="superscript"/>
        </w:rPr>
        <w:t>H</w:t>
      </w:r>
      <w:r>
        <w:rPr>
          <w:rFonts w:ascii="Times New Roman" w:hAnsi="Times New Roman"/>
          <w:sz w:val="24"/>
          <w:szCs w:val="24"/>
        </w:rPr>
        <w:t>). But the P fertilizer did not significantly affect the other chemical properties of the soil considered.</w:t>
      </w:r>
      <w:r>
        <w:rPr>
          <w:rFonts w:ascii="Times New Roman" w:hAnsi="Times New Roman"/>
          <w:sz w:val="24"/>
          <w:szCs w:val="24"/>
          <w:shd w:val="clear" w:color="auto" w:fill="FFFFFF"/>
        </w:rPr>
        <w:t xml:space="preserve"> </w:t>
      </w:r>
    </w:p>
    <w:p w:rsidR="008C27DD" w:rsidRPr="000C3750" w:rsidRDefault="008C27DD" w:rsidP="00CA176A">
      <w:pPr>
        <w:pStyle w:val="ListParagraph"/>
        <w:spacing w:after="0" w:line="360" w:lineRule="auto"/>
        <w:ind w:left="0"/>
        <w:jc w:val="both"/>
        <w:rPr>
          <w:rFonts w:ascii="Times New Roman" w:hAnsi="Times New Roman"/>
          <w:sz w:val="24"/>
          <w:szCs w:val="24"/>
        </w:rPr>
      </w:pPr>
      <w:r w:rsidRPr="000C3750">
        <w:rPr>
          <w:rFonts w:ascii="Times New Roman" w:hAnsi="Times New Roman"/>
          <w:sz w:val="24"/>
          <w:szCs w:val="24"/>
        </w:rPr>
        <w:lastRenderedPageBreak/>
        <w:t xml:space="preserve">However, lime has significantly affected all the chemical properties of the soil analyzed after harvest </w:t>
      </w:r>
      <w:r w:rsidRPr="000C3750">
        <w:rPr>
          <w:rFonts w:ascii="Times New Roman" w:hAnsi="Times New Roman"/>
          <w:b/>
          <w:sz w:val="24"/>
          <w:szCs w:val="24"/>
        </w:rPr>
        <w:t>(Table 2).</w:t>
      </w:r>
      <w:r w:rsidRPr="000C3750">
        <w:rPr>
          <w:rFonts w:ascii="Times New Roman" w:hAnsi="Times New Roman"/>
          <w:sz w:val="24"/>
          <w:szCs w:val="24"/>
        </w:rPr>
        <w:t xml:space="preserve"> Especially, lime applied at full rate (3 tha</w:t>
      </w:r>
      <w:r w:rsidRPr="000C3750">
        <w:rPr>
          <w:rFonts w:ascii="Times New Roman" w:hAnsi="Times New Roman"/>
          <w:sz w:val="24"/>
          <w:szCs w:val="24"/>
          <w:vertAlign w:val="superscript"/>
        </w:rPr>
        <w:t>-1</w:t>
      </w:r>
      <w:r w:rsidRPr="000C3750">
        <w:rPr>
          <w:rFonts w:ascii="Times New Roman" w:hAnsi="Times New Roman"/>
          <w:sz w:val="24"/>
          <w:szCs w:val="24"/>
        </w:rPr>
        <w:t>) significantly increased soil pH followed by 1.5tha</w:t>
      </w:r>
      <w:r w:rsidRPr="000C3750">
        <w:rPr>
          <w:rFonts w:ascii="Times New Roman" w:hAnsi="Times New Roman"/>
          <w:sz w:val="24"/>
          <w:szCs w:val="24"/>
          <w:vertAlign w:val="superscript"/>
        </w:rPr>
        <w:t>-1</w:t>
      </w:r>
      <w:r w:rsidRPr="000C3750">
        <w:rPr>
          <w:rFonts w:ascii="Times New Roman" w:hAnsi="Times New Roman"/>
          <w:sz w:val="24"/>
          <w:szCs w:val="24"/>
        </w:rPr>
        <w:t>treatment and it remained unchanged in un-limed control (0tha</w:t>
      </w:r>
      <w:r w:rsidRPr="000C3750">
        <w:rPr>
          <w:rFonts w:ascii="Times New Roman" w:hAnsi="Times New Roman"/>
          <w:sz w:val="24"/>
          <w:szCs w:val="24"/>
          <w:vertAlign w:val="superscript"/>
        </w:rPr>
        <w:t>-1</w:t>
      </w:r>
      <w:r w:rsidRPr="000C3750">
        <w:rPr>
          <w:rFonts w:ascii="Times New Roman" w:hAnsi="Times New Roman"/>
          <w:sz w:val="24"/>
          <w:szCs w:val="24"/>
        </w:rPr>
        <w:t>) treatment plot. There was a corresponding significant decrease</w:t>
      </w:r>
      <w:r w:rsidRPr="000C3750">
        <w:rPr>
          <w:rFonts w:ascii="Times New Roman" w:hAnsi="Times New Roman"/>
        </w:rPr>
        <w:t xml:space="preserve"> </w:t>
      </w:r>
      <w:r w:rsidRPr="000C3750">
        <w:rPr>
          <w:rFonts w:ascii="Times New Roman" w:hAnsi="Times New Roman"/>
          <w:sz w:val="24"/>
          <w:szCs w:val="24"/>
        </w:rPr>
        <w:t xml:space="preserve">in the exchangeable acidity content of lime-treated soils. Consistent with this result, </w:t>
      </w:r>
      <w:proofErr w:type="spellStart"/>
      <w:r w:rsidRPr="000C3750">
        <w:rPr>
          <w:rFonts w:ascii="Times New Roman" w:hAnsi="Times New Roman"/>
          <w:sz w:val="24"/>
          <w:szCs w:val="24"/>
        </w:rPr>
        <w:t>Temsgen</w:t>
      </w:r>
      <w:proofErr w:type="spellEnd"/>
      <w:r w:rsidRPr="000C3750">
        <w:rPr>
          <w:rFonts w:ascii="Times New Roman" w:hAnsi="Times New Roman"/>
          <w:sz w:val="24"/>
          <w:szCs w:val="24"/>
        </w:rPr>
        <w:t xml:space="preserve"> </w:t>
      </w:r>
      <w:r w:rsidRPr="000C3750">
        <w:rPr>
          <w:rFonts w:ascii="Times New Roman" w:hAnsi="Times New Roman"/>
          <w:i/>
          <w:sz w:val="24"/>
          <w:szCs w:val="24"/>
        </w:rPr>
        <w:t>et al.</w:t>
      </w:r>
      <w:r w:rsidRPr="000C3750">
        <w:rPr>
          <w:rFonts w:ascii="Times New Roman" w:hAnsi="Times New Roman"/>
          <w:sz w:val="24"/>
          <w:szCs w:val="24"/>
        </w:rPr>
        <w:t xml:space="preserve"> (2016) found that </w:t>
      </w:r>
      <w:r w:rsidRPr="000C3750">
        <w:rPr>
          <w:rFonts w:ascii="Times New Roman" w:hAnsi="Times New Roman"/>
          <w:sz w:val="24"/>
          <w:szCs w:val="24"/>
          <w:shd w:val="clear" w:color="auto" w:fill="FFFFFF"/>
        </w:rPr>
        <w:t>lime applied at rates of 0.55, 1.1, 1.65 and 2.2 t ha</w:t>
      </w:r>
      <w:r w:rsidRPr="000C3750">
        <w:rPr>
          <w:rStyle w:val="sup"/>
          <w:rFonts w:ascii="Times New Roman" w:hAnsi="Times New Roman"/>
          <w:sz w:val="24"/>
          <w:szCs w:val="24"/>
          <w:bdr w:val="none" w:sz="0" w:space="0" w:color="auto" w:frame="1"/>
          <w:shd w:val="clear" w:color="auto" w:fill="FFFFFF"/>
          <w:vertAlign w:val="superscript"/>
        </w:rPr>
        <w:t>−1</w:t>
      </w:r>
      <w:r w:rsidRPr="000C3750">
        <w:rPr>
          <w:rFonts w:ascii="Times New Roman" w:hAnsi="Times New Roman"/>
          <w:sz w:val="24"/>
          <w:szCs w:val="24"/>
          <w:shd w:val="clear" w:color="auto" w:fill="FFFFFF"/>
        </w:rPr>
        <w:t> </w:t>
      </w:r>
      <w:r w:rsidRPr="000C3750">
        <w:rPr>
          <w:rFonts w:ascii="Times New Roman" w:hAnsi="Times New Roman"/>
          <w:sz w:val="24"/>
          <w:szCs w:val="24"/>
        </w:rPr>
        <w:t xml:space="preserve">increased the pH by </w:t>
      </w:r>
      <w:r w:rsidRPr="000C3750">
        <w:rPr>
          <w:rFonts w:ascii="Times New Roman" w:hAnsi="Times New Roman"/>
          <w:sz w:val="24"/>
          <w:szCs w:val="24"/>
          <w:shd w:val="clear" w:color="auto" w:fill="FFFFFF"/>
        </w:rPr>
        <w:t>0.48, 0.71, 0.85 and 1.1 units, respectively. These authors also reported that these rates of lime decreased Al</w:t>
      </w:r>
      <w:r w:rsidRPr="000C3750">
        <w:rPr>
          <w:rStyle w:val="sup"/>
          <w:rFonts w:ascii="Times New Roman" w:hAnsi="Times New Roman"/>
          <w:sz w:val="24"/>
          <w:szCs w:val="24"/>
          <w:bdr w:val="none" w:sz="0" w:space="0" w:color="auto" w:frame="1"/>
          <w:shd w:val="clear" w:color="auto" w:fill="FFFFFF"/>
          <w:vertAlign w:val="superscript"/>
        </w:rPr>
        <w:t>3+</w:t>
      </w:r>
      <w:r w:rsidRPr="000C3750">
        <w:rPr>
          <w:rFonts w:ascii="Times New Roman" w:hAnsi="Times New Roman"/>
          <w:sz w:val="24"/>
          <w:szCs w:val="24"/>
          <w:shd w:val="clear" w:color="auto" w:fill="FFFFFF"/>
        </w:rPr>
        <w:t xml:space="preserve"> by 0.88, 1.11, 1.20 and 1.19 mill equivalents per 100 g of soil, respectively. </w:t>
      </w:r>
      <w:r w:rsidRPr="000C3750">
        <w:rPr>
          <w:rFonts w:ascii="Times New Roman" w:hAnsi="Times New Roman"/>
          <w:sz w:val="24"/>
          <w:szCs w:val="24"/>
        </w:rPr>
        <w:t xml:space="preserve">Furthermore, the application of lime has significantly increased the content of CEC and exchangeable </w:t>
      </w:r>
      <w:proofErr w:type="spellStart"/>
      <w:r w:rsidRPr="000C3750">
        <w:rPr>
          <w:rFonts w:ascii="Times New Roman" w:hAnsi="Times New Roman"/>
          <w:sz w:val="24"/>
          <w:szCs w:val="24"/>
        </w:rPr>
        <w:t>cations</w:t>
      </w:r>
      <w:proofErr w:type="spellEnd"/>
      <w:r w:rsidRPr="000C3750">
        <w:rPr>
          <w:rFonts w:ascii="Times New Roman" w:hAnsi="Times New Roman"/>
          <w:sz w:val="24"/>
          <w:szCs w:val="24"/>
        </w:rPr>
        <w:t xml:space="preserve"> of the treated soils compared to the untreated (control) treatment and greater increases in the content of these parameters were recorded with 3tha</w:t>
      </w:r>
      <w:r w:rsidRPr="000C3750">
        <w:rPr>
          <w:rFonts w:ascii="Times New Roman" w:hAnsi="Times New Roman"/>
          <w:sz w:val="24"/>
          <w:szCs w:val="24"/>
          <w:vertAlign w:val="superscript"/>
        </w:rPr>
        <w:t>-1</w:t>
      </w:r>
      <w:r w:rsidRPr="000C3750">
        <w:rPr>
          <w:rFonts w:ascii="Times New Roman" w:hAnsi="Times New Roman"/>
          <w:sz w:val="24"/>
          <w:szCs w:val="24"/>
        </w:rPr>
        <w:t xml:space="preserve"> than 1.5tha</w:t>
      </w:r>
      <w:r w:rsidRPr="000C3750">
        <w:rPr>
          <w:rFonts w:ascii="Times New Roman" w:hAnsi="Times New Roman"/>
          <w:sz w:val="24"/>
          <w:szCs w:val="24"/>
          <w:vertAlign w:val="superscript"/>
        </w:rPr>
        <w:t>-1</w:t>
      </w:r>
      <w:r w:rsidRPr="000C3750">
        <w:rPr>
          <w:rFonts w:ascii="Times New Roman" w:hAnsi="Times New Roman"/>
          <w:sz w:val="24"/>
          <w:szCs w:val="24"/>
        </w:rPr>
        <w:t xml:space="preserve"> </w:t>
      </w:r>
      <w:r w:rsidRPr="000C3750">
        <w:rPr>
          <w:rFonts w:ascii="Times New Roman" w:hAnsi="Times New Roman"/>
          <w:b/>
          <w:sz w:val="24"/>
          <w:szCs w:val="24"/>
        </w:rPr>
        <w:t>(Table 2).</w:t>
      </w:r>
    </w:p>
    <w:p w:rsidR="008C27DD" w:rsidRPr="000C3750" w:rsidRDefault="008C27DD" w:rsidP="008C27DD">
      <w:pPr>
        <w:pStyle w:val="ListParagraph"/>
        <w:spacing w:after="0" w:line="360" w:lineRule="auto"/>
        <w:ind w:left="0"/>
        <w:jc w:val="both"/>
        <w:rPr>
          <w:rFonts w:ascii="Times New Roman" w:hAnsi="Times New Roman"/>
          <w:b/>
          <w:sz w:val="24"/>
          <w:szCs w:val="24"/>
        </w:rPr>
      </w:pPr>
      <w:r w:rsidRPr="000C3750">
        <w:rPr>
          <w:rFonts w:ascii="Times New Roman" w:hAnsi="Times New Roman"/>
          <w:b/>
          <w:sz w:val="24"/>
          <w:szCs w:val="24"/>
        </w:rPr>
        <w:t>Table 2: Main Effects of P, Lime, and Location on selected soil chemical properties after harvest of malt barley</w:t>
      </w:r>
    </w:p>
    <w:tbl>
      <w:tblPr>
        <w:tblW w:w="9137" w:type="dxa"/>
        <w:jc w:val="center"/>
        <w:tblInd w:w="662" w:type="dxa"/>
        <w:tblBorders>
          <w:top w:val="single" w:sz="4" w:space="0" w:color="auto"/>
          <w:bottom w:val="single" w:sz="4" w:space="0" w:color="auto"/>
        </w:tblBorders>
        <w:tblLook w:val="04A0" w:firstRow="1" w:lastRow="0" w:firstColumn="1" w:lastColumn="0" w:noHBand="0" w:noVBand="1"/>
      </w:tblPr>
      <w:tblGrid>
        <w:gridCol w:w="1205"/>
        <w:gridCol w:w="721"/>
        <w:gridCol w:w="112"/>
        <w:gridCol w:w="1319"/>
        <w:gridCol w:w="755"/>
        <w:gridCol w:w="826"/>
        <w:gridCol w:w="908"/>
        <w:gridCol w:w="951"/>
        <w:gridCol w:w="1162"/>
        <w:gridCol w:w="1178"/>
      </w:tblGrid>
      <w:tr w:rsidR="00957A42" w:rsidRPr="000C3750" w:rsidTr="00743EF9">
        <w:trPr>
          <w:trHeight w:val="242"/>
          <w:jc w:val="center"/>
        </w:trPr>
        <w:tc>
          <w:tcPr>
            <w:tcW w:w="1205" w:type="dxa"/>
            <w:vMerge w:val="restart"/>
            <w:shd w:val="clear" w:color="auto" w:fill="auto"/>
          </w:tcPr>
          <w:p w:rsidR="008C27DD" w:rsidRPr="000C3750" w:rsidRDefault="008C27DD" w:rsidP="00743EF9">
            <w:pPr>
              <w:spacing w:after="0" w:line="240" w:lineRule="auto"/>
              <w:rPr>
                <w:b/>
                <w:sz w:val="20"/>
                <w:szCs w:val="20"/>
              </w:rPr>
            </w:pPr>
          </w:p>
          <w:p w:rsidR="008C27DD" w:rsidRPr="000C3750" w:rsidRDefault="008C27DD" w:rsidP="00743EF9">
            <w:pPr>
              <w:spacing w:after="0" w:line="240" w:lineRule="auto"/>
              <w:rPr>
                <w:b/>
                <w:sz w:val="20"/>
                <w:szCs w:val="20"/>
              </w:rPr>
            </w:pPr>
            <w:r w:rsidRPr="000C3750">
              <w:rPr>
                <w:b/>
                <w:sz w:val="20"/>
                <w:szCs w:val="20"/>
              </w:rPr>
              <w:t>Treatments</w:t>
            </w:r>
          </w:p>
        </w:tc>
        <w:tc>
          <w:tcPr>
            <w:tcW w:w="721" w:type="dxa"/>
            <w:vMerge w:val="restart"/>
            <w:shd w:val="clear" w:color="auto" w:fill="auto"/>
          </w:tcPr>
          <w:p w:rsidR="008C27DD" w:rsidRPr="000C3750" w:rsidRDefault="008C27DD" w:rsidP="00743EF9">
            <w:pPr>
              <w:spacing w:after="0" w:line="240" w:lineRule="auto"/>
              <w:jc w:val="center"/>
              <w:rPr>
                <w:b/>
                <w:sz w:val="20"/>
                <w:szCs w:val="20"/>
              </w:rPr>
            </w:pPr>
          </w:p>
          <w:p w:rsidR="008C27DD" w:rsidRPr="000C3750" w:rsidRDefault="008C27DD" w:rsidP="00743EF9">
            <w:pPr>
              <w:spacing w:after="0" w:line="240" w:lineRule="auto"/>
              <w:jc w:val="center"/>
              <w:rPr>
                <w:b/>
                <w:sz w:val="20"/>
                <w:szCs w:val="20"/>
              </w:rPr>
            </w:pPr>
            <w:r w:rsidRPr="000C3750">
              <w:rPr>
                <w:b/>
                <w:sz w:val="20"/>
                <w:szCs w:val="20"/>
              </w:rPr>
              <w:t>pH</w:t>
            </w:r>
          </w:p>
        </w:tc>
        <w:tc>
          <w:tcPr>
            <w:tcW w:w="1431" w:type="dxa"/>
            <w:gridSpan w:val="2"/>
            <w:vMerge w:val="restart"/>
            <w:shd w:val="clear" w:color="auto" w:fill="auto"/>
          </w:tcPr>
          <w:p w:rsidR="008C27DD" w:rsidRPr="000C3750" w:rsidRDefault="008C27DD" w:rsidP="00743EF9">
            <w:pPr>
              <w:spacing w:after="0" w:line="240" w:lineRule="auto"/>
              <w:jc w:val="center"/>
              <w:rPr>
                <w:b/>
                <w:sz w:val="20"/>
                <w:szCs w:val="20"/>
              </w:rPr>
            </w:pPr>
            <w:r w:rsidRPr="000C3750">
              <w:rPr>
                <w:b/>
                <w:sz w:val="20"/>
                <w:szCs w:val="20"/>
              </w:rPr>
              <w:t>Exch. Acidity (</w:t>
            </w:r>
            <w:proofErr w:type="spellStart"/>
            <w:r w:rsidRPr="000C3750">
              <w:rPr>
                <w:b/>
                <w:sz w:val="20"/>
                <w:szCs w:val="20"/>
              </w:rPr>
              <w:t>Cmol</w:t>
            </w:r>
            <w:proofErr w:type="spellEnd"/>
            <w:r w:rsidRPr="000C3750">
              <w:rPr>
                <w:b/>
                <w:sz w:val="20"/>
                <w:szCs w:val="20"/>
              </w:rPr>
              <w:t>(+)/kg)</w:t>
            </w:r>
          </w:p>
        </w:tc>
        <w:tc>
          <w:tcPr>
            <w:tcW w:w="755" w:type="dxa"/>
            <w:vMerge w:val="restart"/>
            <w:shd w:val="clear" w:color="auto" w:fill="auto"/>
          </w:tcPr>
          <w:p w:rsidR="008C27DD" w:rsidRPr="000C3750" w:rsidRDefault="008C27DD" w:rsidP="00743EF9">
            <w:pPr>
              <w:spacing w:after="0" w:line="240" w:lineRule="auto"/>
              <w:jc w:val="center"/>
              <w:rPr>
                <w:b/>
                <w:sz w:val="20"/>
                <w:szCs w:val="20"/>
              </w:rPr>
            </w:pPr>
          </w:p>
          <w:p w:rsidR="008C27DD" w:rsidRPr="000C3750" w:rsidRDefault="008C27DD" w:rsidP="00743EF9">
            <w:pPr>
              <w:spacing w:after="0" w:line="240" w:lineRule="auto"/>
              <w:jc w:val="center"/>
              <w:rPr>
                <w:b/>
                <w:sz w:val="20"/>
                <w:szCs w:val="20"/>
              </w:rPr>
            </w:pPr>
            <w:proofErr w:type="spellStart"/>
            <w:r w:rsidRPr="000C3750">
              <w:rPr>
                <w:b/>
                <w:sz w:val="20"/>
                <w:szCs w:val="20"/>
              </w:rPr>
              <w:t>AvP</w:t>
            </w:r>
            <w:proofErr w:type="spellEnd"/>
            <w:r w:rsidRPr="000C3750">
              <w:rPr>
                <w:b/>
                <w:sz w:val="20"/>
                <w:szCs w:val="20"/>
              </w:rPr>
              <w:t xml:space="preserve"> (ppm)</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CEC</w:t>
            </w:r>
          </w:p>
        </w:tc>
        <w:tc>
          <w:tcPr>
            <w:tcW w:w="908"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Exh.Ca</w:t>
            </w:r>
          </w:p>
        </w:tc>
        <w:tc>
          <w:tcPr>
            <w:tcW w:w="951"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r w:rsidRPr="000C3750">
              <w:rPr>
                <w:b/>
                <w:sz w:val="20"/>
                <w:szCs w:val="20"/>
              </w:rPr>
              <w:t>Exch. K</w:t>
            </w: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Exch. Mg</w:t>
            </w: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Exch. Na</w:t>
            </w:r>
          </w:p>
        </w:tc>
      </w:tr>
      <w:tr w:rsidR="008C27DD" w:rsidRPr="000C3750" w:rsidTr="00743EF9">
        <w:trPr>
          <w:trHeight w:val="51"/>
          <w:jc w:val="center"/>
        </w:trPr>
        <w:tc>
          <w:tcPr>
            <w:tcW w:w="1205" w:type="dxa"/>
            <w:vMerge/>
            <w:tcBorders>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721" w:type="dxa"/>
            <w:vMerge/>
            <w:tcBorders>
              <w:bottom w:val="single" w:sz="4" w:space="0" w:color="auto"/>
            </w:tcBorders>
            <w:shd w:val="clear" w:color="auto" w:fill="auto"/>
          </w:tcPr>
          <w:p w:rsidR="008C27DD" w:rsidRPr="000C3750" w:rsidRDefault="008C27DD" w:rsidP="00743EF9">
            <w:pPr>
              <w:spacing w:after="0" w:line="240" w:lineRule="auto"/>
              <w:jc w:val="center"/>
              <w:rPr>
                <w:b/>
                <w:sz w:val="20"/>
                <w:szCs w:val="20"/>
              </w:rPr>
            </w:pPr>
          </w:p>
        </w:tc>
        <w:tc>
          <w:tcPr>
            <w:tcW w:w="1431" w:type="dxa"/>
            <w:gridSpan w:val="2"/>
            <w:vMerge/>
            <w:tcBorders>
              <w:bottom w:val="single" w:sz="4" w:space="0" w:color="auto"/>
            </w:tcBorders>
            <w:shd w:val="clear" w:color="auto" w:fill="auto"/>
          </w:tcPr>
          <w:p w:rsidR="008C27DD" w:rsidRPr="000C3750" w:rsidRDefault="008C27DD" w:rsidP="00743EF9">
            <w:pPr>
              <w:spacing w:after="0" w:line="240" w:lineRule="auto"/>
              <w:jc w:val="center"/>
              <w:rPr>
                <w:b/>
                <w:sz w:val="20"/>
                <w:szCs w:val="20"/>
              </w:rPr>
            </w:pPr>
          </w:p>
        </w:tc>
        <w:tc>
          <w:tcPr>
            <w:tcW w:w="755" w:type="dxa"/>
            <w:vMerge/>
            <w:tcBorders>
              <w:bottom w:val="single" w:sz="4" w:space="0" w:color="auto"/>
            </w:tcBorders>
            <w:shd w:val="clear" w:color="auto" w:fill="auto"/>
          </w:tcPr>
          <w:p w:rsidR="008C27DD" w:rsidRPr="000C3750" w:rsidRDefault="008C27DD" w:rsidP="00743EF9">
            <w:pPr>
              <w:spacing w:after="0" w:line="240" w:lineRule="auto"/>
              <w:jc w:val="center"/>
              <w:rPr>
                <w:b/>
                <w:sz w:val="20"/>
                <w:szCs w:val="20"/>
              </w:rPr>
            </w:pPr>
          </w:p>
        </w:tc>
        <w:tc>
          <w:tcPr>
            <w:tcW w:w="5025" w:type="dxa"/>
            <w:gridSpan w:val="5"/>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proofErr w:type="spellStart"/>
            <w:r w:rsidRPr="000C3750">
              <w:rPr>
                <w:b/>
                <w:sz w:val="20"/>
                <w:szCs w:val="20"/>
              </w:rPr>
              <w:t>Cmol</w:t>
            </w:r>
            <w:proofErr w:type="spellEnd"/>
            <w:r w:rsidRPr="000C3750">
              <w:rPr>
                <w:b/>
                <w:sz w:val="20"/>
                <w:szCs w:val="20"/>
              </w:rPr>
              <w:t>(+)/kg</w:t>
            </w:r>
          </w:p>
        </w:tc>
      </w:tr>
      <w:tr w:rsidR="00ED57DD" w:rsidRPr="000C3750" w:rsidTr="00743EF9">
        <w:trPr>
          <w:jc w:val="center"/>
        </w:trPr>
        <w:tc>
          <w:tcPr>
            <w:tcW w:w="4112" w:type="dxa"/>
            <w:gridSpan w:val="5"/>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r w:rsidRPr="000C3750">
              <w:rPr>
                <w:b/>
                <w:sz w:val="20"/>
                <w:szCs w:val="20"/>
              </w:rPr>
              <w:t>Phosphorus (P)-rates (kg ha</w:t>
            </w:r>
            <w:r w:rsidR="00BF344D" w:rsidRPr="000C3750">
              <w:rPr>
                <w:b/>
                <w:sz w:val="20"/>
                <w:szCs w:val="20"/>
                <w:vertAlign w:val="superscript"/>
              </w:rPr>
              <w:t>-1</w:t>
            </w:r>
            <w:r w:rsidR="00957A42" w:rsidRPr="000C3750">
              <w:rPr>
                <w:b/>
                <w:sz w:val="20"/>
                <w:szCs w:val="20"/>
              </w:rPr>
              <w:t>)</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90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951"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r>
      <w:tr w:rsidR="00957A42" w:rsidRPr="000C3750" w:rsidTr="00743EF9">
        <w:trPr>
          <w:trHeight w:val="143"/>
          <w:jc w:val="center"/>
        </w:trPr>
        <w:tc>
          <w:tcPr>
            <w:tcW w:w="1205" w:type="dxa"/>
            <w:tcBorders>
              <w:top w:val="single" w:sz="4" w:space="0" w:color="auto"/>
            </w:tcBorders>
            <w:shd w:val="clear" w:color="auto" w:fill="auto"/>
          </w:tcPr>
          <w:p w:rsidR="008C27DD" w:rsidRPr="000C3750" w:rsidRDefault="008C27DD" w:rsidP="00743EF9">
            <w:pPr>
              <w:spacing w:after="0" w:line="240" w:lineRule="auto"/>
              <w:rPr>
                <w:sz w:val="20"/>
                <w:szCs w:val="20"/>
              </w:rPr>
            </w:pPr>
            <w:r w:rsidRPr="000C3750">
              <w:rPr>
                <w:sz w:val="20"/>
                <w:szCs w:val="20"/>
              </w:rPr>
              <w:t>0</w:t>
            </w:r>
          </w:p>
        </w:tc>
        <w:tc>
          <w:tcPr>
            <w:tcW w:w="833" w:type="dxa"/>
            <w:gridSpan w:val="2"/>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5.67</w:t>
            </w:r>
          </w:p>
        </w:tc>
        <w:tc>
          <w:tcPr>
            <w:tcW w:w="1319"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0.17</w:t>
            </w:r>
          </w:p>
        </w:tc>
        <w:tc>
          <w:tcPr>
            <w:tcW w:w="755"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6.34d</w:t>
            </w:r>
          </w:p>
        </w:tc>
        <w:tc>
          <w:tcPr>
            <w:tcW w:w="826"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25.68</w:t>
            </w:r>
          </w:p>
        </w:tc>
        <w:tc>
          <w:tcPr>
            <w:tcW w:w="90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13.61</w:t>
            </w:r>
          </w:p>
        </w:tc>
        <w:tc>
          <w:tcPr>
            <w:tcW w:w="951"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2.44</w:t>
            </w:r>
          </w:p>
        </w:tc>
        <w:tc>
          <w:tcPr>
            <w:tcW w:w="1162"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8.56</w:t>
            </w:r>
          </w:p>
        </w:tc>
        <w:tc>
          <w:tcPr>
            <w:tcW w:w="117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1.5</w:t>
            </w:r>
          </w:p>
        </w:tc>
      </w:tr>
      <w:tr w:rsidR="00957A42" w:rsidRPr="000C3750" w:rsidTr="00743EF9">
        <w:trPr>
          <w:jc w:val="center"/>
        </w:trPr>
        <w:tc>
          <w:tcPr>
            <w:tcW w:w="1205" w:type="dxa"/>
            <w:shd w:val="clear" w:color="auto" w:fill="auto"/>
          </w:tcPr>
          <w:p w:rsidR="008C27DD" w:rsidRPr="000C3750" w:rsidRDefault="008C27DD" w:rsidP="00743EF9">
            <w:pPr>
              <w:spacing w:after="0" w:line="240" w:lineRule="auto"/>
              <w:rPr>
                <w:sz w:val="20"/>
                <w:szCs w:val="20"/>
              </w:rPr>
            </w:pPr>
            <w:r w:rsidRPr="000C3750">
              <w:rPr>
                <w:sz w:val="20"/>
                <w:szCs w:val="20"/>
              </w:rPr>
              <w:t>10</w:t>
            </w:r>
          </w:p>
        </w:tc>
        <w:tc>
          <w:tcPr>
            <w:tcW w:w="833" w:type="dxa"/>
            <w:gridSpan w:val="2"/>
            <w:shd w:val="clear" w:color="auto" w:fill="auto"/>
          </w:tcPr>
          <w:p w:rsidR="008C27DD" w:rsidRPr="000C3750" w:rsidRDefault="008C27DD" w:rsidP="00743EF9">
            <w:pPr>
              <w:spacing w:after="0" w:line="240" w:lineRule="auto"/>
              <w:jc w:val="center"/>
              <w:rPr>
                <w:sz w:val="20"/>
                <w:szCs w:val="20"/>
              </w:rPr>
            </w:pPr>
            <w:r w:rsidRPr="000C3750">
              <w:rPr>
                <w:sz w:val="20"/>
                <w:szCs w:val="20"/>
              </w:rPr>
              <w:t>5.73</w:t>
            </w:r>
          </w:p>
        </w:tc>
        <w:tc>
          <w:tcPr>
            <w:tcW w:w="1319" w:type="dxa"/>
            <w:shd w:val="clear" w:color="auto" w:fill="auto"/>
          </w:tcPr>
          <w:p w:rsidR="008C27DD" w:rsidRPr="000C3750" w:rsidRDefault="008C27DD" w:rsidP="00743EF9">
            <w:pPr>
              <w:spacing w:after="0" w:line="240" w:lineRule="auto"/>
              <w:jc w:val="center"/>
              <w:rPr>
                <w:sz w:val="20"/>
                <w:szCs w:val="20"/>
              </w:rPr>
            </w:pPr>
            <w:r w:rsidRPr="000C3750">
              <w:rPr>
                <w:sz w:val="20"/>
                <w:szCs w:val="20"/>
              </w:rPr>
              <w:t>0.15</w:t>
            </w:r>
          </w:p>
        </w:tc>
        <w:tc>
          <w:tcPr>
            <w:tcW w:w="755" w:type="dxa"/>
            <w:shd w:val="clear" w:color="auto" w:fill="auto"/>
          </w:tcPr>
          <w:p w:rsidR="008C27DD" w:rsidRPr="000C3750" w:rsidRDefault="008C27DD" w:rsidP="00743EF9">
            <w:pPr>
              <w:spacing w:after="0" w:line="240" w:lineRule="auto"/>
              <w:jc w:val="center"/>
              <w:rPr>
                <w:sz w:val="20"/>
                <w:szCs w:val="20"/>
              </w:rPr>
            </w:pPr>
            <w:r w:rsidRPr="000C3750">
              <w:rPr>
                <w:sz w:val="20"/>
                <w:szCs w:val="20"/>
              </w:rPr>
              <w:t>7.81c</w:t>
            </w:r>
          </w:p>
        </w:tc>
        <w:tc>
          <w:tcPr>
            <w:tcW w:w="826"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25.59</w:t>
            </w:r>
          </w:p>
        </w:tc>
        <w:tc>
          <w:tcPr>
            <w:tcW w:w="90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14.07</w:t>
            </w:r>
          </w:p>
        </w:tc>
        <w:tc>
          <w:tcPr>
            <w:tcW w:w="951"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2.46</w:t>
            </w:r>
          </w:p>
        </w:tc>
        <w:tc>
          <w:tcPr>
            <w:tcW w:w="1162" w:type="dxa"/>
            <w:shd w:val="clear" w:color="auto" w:fill="auto"/>
          </w:tcPr>
          <w:p w:rsidR="008C27DD" w:rsidRPr="000C3750" w:rsidRDefault="008C27DD" w:rsidP="00743EF9">
            <w:pPr>
              <w:spacing w:after="0" w:line="240" w:lineRule="auto"/>
              <w:jc w:val="center"/>
              <w:rPr>
                <w:sz w:val="20"/>
                <w:szCs w:val="20"/>
              </w:rPr>
            </w:pPr>
            <w:r w:rsidRPr="000C3750">
              <w:rPr>
                <w:sz w:val="20"/>
                <w:szCs w:val="20"/>
              </w:rPr>
              <w:t>8.91</w:t>
            </w:r>
          </w:p>
        </w:tc>
        <w:tc>
          <w:tcPr>
            <w:tcW w:w="117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1.4</w:t>
            </w:r>
          </w:p>
        </w:tc>
      </w:tr>
      <w:tr w:rsidR="00957A42" w:rsidRPr="000C3750" w:rsidTr="00743EF9">
        <w:trPr>
          <w:jc w:val="center"/>
        </w:trPr>
        <w:tc>
          <w:tcPr>
            <w:tcW w:w="1205" w:type="dxa"/>
            <w:shd w:val="clear" w:color="auto" w:fill="auto"/>
          </w:tcPr>
          <w:p w:rsidR="008C27DD" w:rsidRPr="000C3750" w:rsidRDefault="008C27DD" w:rsidP="00743EF9">
            <w:pPr>
              <w:spacing w:after="0" w:line="240" w:lineRule="auto"/>
              <w:rPr>
                <w:sz w:val="20"/>
                <w:szCs w:val="20"/>
              </w:rPr>
            </w:pPr>
            <w:r w:rsidRPr="000C3750">
              <w:rPr>
                <w:sz w:val="20"/>
                <w:szCs w:val="20"/>
              </w:rPr>
              <w:t>20</w:t>
            </w:r>
          </w:p>
        </w:tc>
        <w:tc>
          <w:tcPr>
            <w:tcW w:w="833" w:type="dxa"/>
            <w:gridSpan w:val="2"/>
            <w:shd w:val="clear" w:color="auto" w:fill="auto"/>
          </w:tcPr>
          <w:p w:rsidR="008C27DD" w:rsidRPr="000C3750" w:rsidRDefault="008C27DD" w:rsidP="00743EF9">
            <w:pPr>
              <w:spacing w:after="0" w:line="240" w:lineRule="auto"/>
              <w:jc w:val="center"/>
              <w:rPr>
                <w:sz w:val="20"/>
                <w:szCs w:val="20"/>
              </w:rPr>
            </w:pPr>
            <w:r w:rsidRPr="000C3750">
              <w:rPr>
                <w:sz w:val="20"/>
                <w:szCs w:val="20"/>
              </w:rPr>
              <w:t>5.75</w:t>
            </w:r>
          </w:p>
        </w:tc>
        <w:tc>
          <w:tcPr>
            <w:tcW w:w="1319" w:type="dxa"/>
            <w:shd w:val="clear" w:color="auto" w:fill="auto"/>
          </w:tcPr>
          <w:p w:rsidR="008C27DD" w:rsidRPr="000C3750" w:rsidRDefault="008C27DD" w:rsidP="00743EF9">
            <w:pPr>
              <w:spacing w:after="0" w:line="240" w:lineRule="auto"/>
              <w:jc w:val="center"/>
              <w:rPr>
                <w:sz w:val="20"/>
                <w:szCs w:val="20"/>
              </w:rPr>
            </w:pPr>
            <w:r w:rsidRPr="000C3750">
              <w:rPr>
                <w:sz w:val="20"/>
                <w:szCs w:val="20"/>
              </w:rPr>
              <w:t>0.16</w:t>
            </w:r>
          </w:p>
        </w:tc>
        <w:tc>
          <w:tcPr>
            <w:tcW w:w="755" w:type="dxa"/>
            <w:shd w:val="clear" w:color="auto" w:fill="auto"/>
          </w:tcPr>
          <w:p w:rsidR="008C27DD" w:rsidRPr="000C3750" w:rsidRDefault="008C27DD" w:rsidP="00743EF9">
            <w:pPr>
              <w:spacing w:after="0" w:line="240" w:lineRule="auto"/>
              <w:jc w:val="center"/>
              <w:rPr>
                <w:sz w:val="20"/>
                <w:szCs w:val="20"/>
              </w:rPr>
            </w:pPr>
            <w:r w:rsidRPr="000C3750">
              <w:rPr>
                <w:sz w:val="20"/>
                <w:szCs w:val="20"/>
              </w:rPr>
              <w:t>8.99b</w:t>
            </w:r>
          </w:p>
        </w:tc>
        <w:tc>
          <w:tcPr>
            <w:tcW w:w="826"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25.32</w:t>
            </w:r>
          </w:p>
        </w:tc>
        <w:tc>
          <w:tcPr>
            <w:tcW w:w="90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14.01</w:t>
            </w:r>
          </w:p>
        </w:tc>
        <w:tc>
          <w:tcPr>
            <w:tcW w:w="951"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2.45</w:t>
            </w:r>
          </w:p>
        </w:tc>
        <w:tc>
          <w:tcPr>
            <w:tcW w:w="1162" w:type="dxa"/>
            <w:shd w:val="clear" w:color="auto" w:fill="auto"/>
          </w:tcPr>
          <w:p w:rsidR="008C27DD" w:rsidRPr="000C3750" w:rsidRDefault="008C27DD" w:rsidP="00743EF9">
            <w:pPr>
              <w:spacing w:after="0" w:line="240" w:lineRule="auto"/>
              <w:jc w:val="center"/>
              <w:rPr>
                <w:sz w:val="20"/>
                <w:szCs w:val="20"/>
              </w:rPr>
            </w:pPr>
            <w:r w:rsidRPr="000C3750">
              <w:rPr>
                <w:sz w:val="20"/>
                <w:szCs w:val="20"/>
              </w:rPr>
              <w:t>8.49</w:t>
            </w:r>
          </w:p>
        </w:tc>
        <w:tc>
          <w:tcPr>
            <w:tcW w:w="117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1.2</w:t>
            </w:r>
          </w:p>
        </w:tc>
      </w:tr>
      <w:tr w:rsidR="00957A42" w:rsidRPr="000C3750" w:rsidTr="00743EF9">
        <w:trPr>
          <w:jc w:val="center"/>
        </w:trPr>
        <w:tc>
          <w:tcPr>
            <w:tcW w:w="1205" w:type="dxa"/>
            <w:tcBorders>
              <w:bottom w:val="single" w:sz="4" w:space="0" w:color="auto"/>
            </w:tcBorders>
            <w:shd w:val="clear" w:color="auto" w:fill="auto"/>
          </w:tcPr>
          <w:p w:rsidR="008C27DD" w:rsidRPr="000C3750" w:rsidRDefault="008C27DD" w:rsidP="00743EF9">
            <w:pPr>
              <w:spacing w:after="0" w:line="240" w:lineRule="auto"/>
              <w:rPr>
                <w:sz w:val="20"/>
                <w:szCs w:val="20"/>
              </w:rPr>
            </w:pPr>
            <w:r w:rsidRPr="000C3750">
              <w:rPr>
                <w:sz w:val="20"/>
                <w:szCs w:val="20"/>
              </w:rPr>
              <w:t>30</w:t>
            </w:r>
          </w:p>
        </w:tc>
        <w:tc>
          <w:tcPr>
            <w:tcW w:w="833" w:type="dxa"/>
            <w:gridSpan w:val="2"/>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5.78</w:t>
            </w:r>
          </w:p>
        </w:tc>
        <w:tc>
          <w:tcPr>
            <w:tcW w:w="1319"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0.16</w:t>
            </w:r>
          </w:p>
        </w:tc>
        <w:tc>
          <w:tcPr>
            <w:tcW w:w="755"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10.14a</w:t>
            </w:r>
          </w:p>
        </w:tc>
        <w:tc>
          <w:tcPr>
            <w:tcW w:w="826"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26.01</w:t>
            </w:r>
          </w:p>
        </w:tc>
        <w:tc>
          <w:tcPr>
            <w:tcW w:w="90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14.23</w:t>
            </w:r>
          </w:p>
        </w:tc>
        <w:tc>
          <w:tcPr>
            <w:tcW w:w="951"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2.45</w:t>
            </w:r>
          </w:p>
        </w:tc>
        <w:tc>
          <w:tcPr>
            <w:tcW w:w="1162"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8.61</w:t>
            </w:r>
          </w:p>
        </w:tc>
        <w:tc>
          <w:tcPr>
            <w:tcW w:w="117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1.3</w:t>
            </w:r>
          </w:p>
        </w:tc>
      </w:tr>
      <w:tr w:rsidR="00957A42" w:rsidRPr="000C3750" w:rsidTr="00743EF9">
        <w:trPr>
          <w:jc w:val="center"/>
        </w:trPr>
        <w:tc>
          <w:tcPr>
            <w:tcW w:w="1205"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r w:rsidRPr="000C3750">
              <w:rPr>
                <w:b/>
                <w:sz w:val="20"/>
                <w:szCs w:val="20"/>
              </w:rPr>
              <w:t>LSD (0.05)</w:t>
            </w:r>
          </w:p>
        </w:tc>
        <w:tc>
          <w:tcPr>
            <w:tcW w:w="833" w:type="dxa"/>
            <w:gridSpan w:val="2"/>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Ns</w:t>
            </w:r>
          </w:p>
        </w:tc>
        <w:tc>
          <w:tcPr>
            <w:tcW w:w="1319" w:type="dxa"/>
            <w:tcBorders>
              <w:top w:val="single" w:sz="4" w:space="0" w:color="auto"/>
              <w:bottom w:val="single" w:sz="4" w:space="0" w:color="auto"/>
            </w:tcBorders>
            <w:shd w:val="clear" w:color="auto" w:fill="auto"/>
          </w:tcPr>
          <w:p w:rsidR="008C27DD" w:rsidRPr="000C3750" w:rsidRDefault="00BC6724" w:rsidP="00743EF9">
            <w:pPr>
              <w:spacing w:after="0" w:line="240" w:lineRule="auto"/>
              <w:jc w:val="center"/>
              <w:rPr>
                <w:b/>
                <w:sz w:val="20"/>
                <w:szCs w:val="20"/>
              </w:rPr>
            </w:pPr>
            <w:r w:rsidRPr="000C3750">
              <w:rPr>
                <w:b/>
                <w:sz w:val="20"/>
                <w:szCs w:val="20"/>
              </w:rPr>
              <w:t>Ns</w:t>
            </w:r>
          </w:p>
        </w:tc>
        <w:tc>
          <w:tcPr>
            <w:tcW w:w="755"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0.85</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ns</w:t>
            </w:r>
          </w:p>
        </w:tc>
        <w:tc>
          <w:tcPr>
            <w:tcW w:w="908" w:type="dxa"/>
            <w:tcBorders>
              <w:top w:val="single" w:sz="4" w:space="0" w:color="auto"/>
              <w:bottom w:val="single" w:sz="4" w:space="0" w:color="auto"/>
            </w:tcBorders>
            <w:shd w:val="clear" w:color="auto" w:fill="auto"/>
          </w:tcPr>
          <w:p w:rsidR="008C27DD" w:rsidRPr="000C3750" w:rsidRDefault="00957A42" w:rsidP="00743EF9">
            <w:pPr>
              <w:spacing w:after="0" w:line="240" w:lineRule="auto"/>
              <w:jc w:val="center"/>
              <w:rPr>
                <w:b/>
                <w:sz w:val="20"/>
                <w:szCs w:val="20"/>
              </w:rPr>
            </w:pPr>
            <w:r w:rsidRPr="000C3750">
              <w:rPr>
                <w:b/>
                <w:sz w:val="20"/>
                <w:szCs w:val="20"/>
              </w:rPr>
              <w:t>Ns</w:t>
            </w:r>
          </w:p>
        </w:tc>
        <w:tc>
          <w:tcPr>
            <w:tcW w:w="951" w:type="dxa"/>
            <w:tcBorders>
              <w:top w:val="single" w:sz="4" w:space="0" w:color="auto"/>
              <w:bottom w:val="single" w:sz="4" w:space="0" w:color="auto"/>
            </w:tcBorders>
            <w:shd w:val="clear" w:color="auto" w:fill="auto"/>
          </w:tcPr>
          <w:p w:rsidR="008C27DD" w:rsidRPr="000C3750" w:rsidRDefault="00827BE2" w:rsidP="00743EF9">
            <w:pPr>
              <w:spacing w:after="0" w:line="240" w:lineRule="auto"/>
              <w:jc w:val="center"/>
              <w:rPr>
                <w:b/>
                <w:sz w:val="20"/>
                <w:szCs w:val="20"/>
              </w:rPr>
            </w:pPr>
            <w:r w:rsidRPr="000C3750">
              <w:rPr>
                <w:b/>
                <w:sz w:val="20"/>
                <w:szCs w:val="20"/>
              </w:rPr>
              <w:t>ns</w:t>
            </w: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ns</w:t>
            </w: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Ns</w:t>
            </w:r>
          </w:p>
        </w:tc>
      </w:tr>
      <w:tr w:rsidR="00ED57DD" w:rsidRPr="000C3750" w:rsidTr="00743EF9">
        <w:trPr>
          <w:jc w:val="center"/>
        </w:trPr>
        <w:tc>
          <w:tcPr>
            <w:tcW w:w="4112" w:type="dxa"/>
            <w:gridSpan w:val="5"/>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r w:rsidRPr="000C3750">
              <w:rPr>
                <w:b/>
                <w:sz w:val="20"/>
                <w:szCs w:val="20"/>
              </w:rPr>
              <w:t>Lime (L) rates (t ha</w:t>
            </w:r>
            <w:r w:rsidR="00BF344D" w:rsidRPr="000C3750">
              <w:rPr>
                <w:b/>
                <w:sz w:val="20"/>
                <w:szCs w:val="20"/>
                <w:vertAlign w:val="superscript"/>
              </w:rPr>
              <w:t>-1</w:t>
            </w:r>
            <w:r w:rsidR="00957A42" w:rsidRPr="000C3750">
              <w:rPr>
                <w:b/>
                <w:sz w:val="20"/>
                <w:szCs w:val="20"/>
              </w:rPr>
              <w:t>)</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90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951"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p>
        </w:tc>
      </w:tr>
      <w:tr w:rsidR="00957A42" w:rsidRPr="000C3750" w:rsidTr="00743EF9">
        <w:trPr>
          <w:jc w:val="center"/>
        </w:trPr>
        <w:tc>
          <w:tcPr>
            <w:tcW w:w="1205" w:type="dxa"/>
            <w:tcBorders>
              <w:top w:val="single" w:sz="4" w:space="0" w:color="auto"/>
            </w:tcBorders>
            <w:shd w:val="clear" w:color="auto" w:fill="auto"/>
          </w:tcPr>
          <w:p w:rsidR="008C27DD" w:rsidRPr="000C3750" w:rsidRDefault="008C27DD" w:rsidP="00743EF9">
            <w:pPr>
              <w:spacing w:after="0" w:line="240" w:lineRule="auto"/>
              <w:rPr>
                <w:sz w:val="20"/>
                <w:szCs w:val="20"/>
              </w:rPr>
            </w:pPr>
            <w:r w:rsidRPr="000C3750">
              <w:rPr>
                <w:sz w:val="20"/>
                <w:szCs w:val="20"/>
              </w:rPr>
              <w:t>0.0</w:t>
            </w:r>
          </w:p>
        </w:tc>
        <w:tc>
          <w:tcPr>
            <w:tcW w:w="833" w:type="dxa"/>
            <w:gridSpan w:val="2"/>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5.34c</w:t>
            </w:r>
          </w:p>
        </w:tc>
        <w:tc>
          <w:tcPr>
            <w:tcW w:w="1319"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0.27a</w:t>
            </w:r>
          </w:p>
        </w:tc>
        <w:tc>
          <w:tcPr>
            <w:tcW w:w="755"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7.35c</w:t>
            </w:r>
          </w:p>
        </w:tc>
        <w:tc>
          <w:tcPr>
            <w:tcW w:w="826"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23.63c</w:t>
            </w:r>
          </w:p>
        </w:tc>
        <w:tc>
          <w:tcPr>
            <w:tcW w:w="90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12.14c</w:t>
            </w:r>
          </w:p>
        </w:tc>
        <w:tc>
          <w:tcPr>
            <w:tcW w:w="951"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2.04c</w:t>
            </w:r>
          </w:p>
        </w:tc>
        <w:tc>
          <w:tcPr>
            <w:tcW w:w="1162"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8.20b</w:t>
            </w:r>
          </w:p>
        </w:tc>
        <w:tc>
          <w:tcPr>
            <w:tcW w:w="117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1.21b</w:t>
            </w:r>
          </w:p>
        </w:tc>
      </w:tr>
      <w:tr w:rsidR="00957A42" w:rsidRPr="000C3750" w:rsidTr="00743EF9">
        <w:trPr>
          <w:jc w:val="center"/>
        </w:trPr>
        <w:tc>
          <w:tcPr>
            <w:tcW w:w="1205" w:type="dxa"/>
            <w:shd w:val="clear" w:color="auto" w:fill="auto"/>
          </w:tcPr>
          <w:p w:rsidR="008C27DD" w:rsidRPr="000C3750" w:rsidRDefault="008C27DD" w:rsidP="00743EF9">
            <w:pPr>
              <w:spacing w:after="0" w:line="240" w:lineRule="auto"/>
              <w:rPr>
                <w:sz w:val="20"/>
                <w:szCs w:val="20"/>
              </w:rPr>
            </w:pPr>
            <w:r w:rsidRPr="000C3750">
              <w:rPr>
                <w:sz w:val="20"/>
                <w:szCs w:val="20"/>
              </w:rPr>
              <w:t>1.5</w:t>
            </w:r>
          </w:p>
        </w:tc>
        <w:tc>
          <w:tcPr>
            <w:tcW w:w="833" w:type="dxa"/>
            <w:gridSpan w:val="2"/>
            <w:shd w:val="clear" w:color="auto" w:fill="auto"/>
          </w:tcPr>
          <w:p w:rsidR="008C27DD" w:rsidRPr="000C3750" w:rsidRDefault="008C27DD" w:rsidP="00743EF9">
            <w:pPr>
              <w:spacing w:after="0" w:line="240" w:lineRule="auto"/>
              <w:jc w:val="center"/>
              <w:rPr>
                <w:sz w:val="20"/>
                <w:szCs w:val="20"/>
              </w:rPr>
            </w:pPr>
            <w:r w:rsidRPr="000C3750">
              <w:rPr>
                <w:sz w:val="20"/>
                <w:szCs w:val="20"/>
              </w:rPr>
              <w:t>5.72b</w:t>
            </w:r>
          </w:p>
        </w:tc>
        <w:tc>
          <w:tcPr>
            <w:tcW w:w="1319" w:type="dxa"/>
            <w:shd w:val="clear" w:color="auto" w:fill="auto"/>
          </w:tcPr>
          <w:p w:rsidR="008C27DD" w:rsidRPr="000C3750" w:rsidRDefault="008C27DD" w:rsidP="00743EF9">
            <w:pPr>
              <w:spacing w:after="0" w:line="240" w:lineRule="auto"/>
              <w:jc w:val="center"/>
              <w:rPr>
                <w:sz w:val="20"/>
                <w:szCs w:val="20"/>
              </w:rPr>
            </w:pPr>
            <w:r w:rsidRPr="000C3750">
              <w:rPr>
                <w:sz w:val="20"/>
                <w:szCs w:val="20"/>
              </w:rPr>
              <w:t>0.15b</w:t>
            </w:r>
          </w:p>
        </w:tc>
        <w:tc>
          <w:tcPr>
            <w:tcW w:w="755" w:type="dxa"/>
            <w:shd w:val="clear" w:color="auto" w:fill="auto"/>
          </w:tcPr>
          <w:p w:rsidR="008C27DD" w:rsidRPr="000C3750" w:rsidRDefault="008C27DD" w:rsidP="00743EF9">
            <w:pPr>
              <w:spacing w:after="0" w:line="240" w:lineRule="auto"/>
              <w:jc w:val="center"/>
              <w:rPr>
                <w:sz w:val="20"/>
                <w:szCs w:val="20"/>
              </w:rPr>
            </w:pPr>
            <w:r w:rsidRPr="000C3750">
              <w:rPr>
                <w:sz w:val="20"/>
                <w:szCs w:val="20"/>
              </w:rPr>
              <w:t>8.41b</w:t>
            </w:r>
          </w:p>
        </w:tc>
        <w:tc>
          <w:tcPr>
            <w:tcW w:w="826"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25.87b</w:t>
            </w:r>
          </w:p>
        </w:tc>
        <w:tc>
          <w:tcPr>
            <w:tcW w:w="90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14.38b</w:t>
            </w:r>
          </w:p>
        </w:tc>
        <w:tc>
          <w:tcPr>
            <w:tcW w:w="951" w:type="dxa"/>
            <w:shd w:val="clear" w:color="auto" w:fill="auto"/>
          </w:tcPr>
          <w:p w:rsidR="008C27DD" w:rsidRPr="000C3750" w:rsidRDefault="008C27DD" w:rsidP="00743EF9">
            <w:pPr>
              <w:spacing w:after="0" w:line="240" w:lineRule="auto"/>
              <w:jc w:val="center"/>
              <w:rPr>
                <w:sz w:val="20"/>
                <w:szCs w:val="20"/>
              </w:rPr>
            </w:pPr>
            <w:r w:rsidRPr="000C3750">
              <w:rPr>
                <w:sz w:val="20"/>
                <w:szCs w:val="20"/>
              </w:rPr>
              <w:t>2.51b</w:t>
            </w:r>
          </w:p>
        </w:tc>
        <w:tc>
          <w:tcPr>
            <w:tcW w:w="1162" w:type="dxa"/>
            <w:shd w:val="clear" w:color="auto" w:fill="auto"/>
          </w:tcPr>
          <w:p w:rsidR="008C27DD" w:rsidRPr="000C3750" w:rsidRDefault="008C27DD" w:rsidP="00743EF9">
            <w:pPr>
              <w:spacing w:after="0" w:line="240" w:lineRule="auto"/>
              <w:jc w:val="center"/>
              <w:rPr>
                <w:sz w:val="20"/>
                <w:szCs w:val="20"/>
              </w:rPr>
            </w:pPr>
            <w:r w:rsidRPr="000C3750">
              <w:rPr>
                <w:sz w:val="20"/>
                <w:szCs w:val="20"/>
              </w:rPr>
              <w:t>8.83a</w:t>
            </w:r>
          </w:p>
        </w:tc>
        <w:tc>
          <w:tcPr>
            <w:tcW w:w="1178" w:type="dxa"/>
            <w:shd w:val="clear" w:color="auto" w:fill="auto"/>
          </w:tcPr>
          <w:p w:rsidR="008C27DD" w:rsidRPr="000C3750" w:rsidRDefault="008C27DD" w:rsidP="00743EF9">
            <w:pPr>
              <w:spacing w:after="0" w:line="240" w:lineRule="auto"/>
              <w:jc w:val="center"/>
              <w:rPr>
                <w:sz w:val="20"/>
                <w:szCs w:val="20"/>
              </w:rPr>
            </w:pPr>
            <w:r w:rsidRPr="000C3750">
              <w:rPr>
                <w:sz w:val="20"/>
                <w:szCs w:val="20"/>
              </w:rPr>
              <w:t>1.37ab</w:t>
            </w:r>
          </w:p>
        </w:tc>
      </w:tr>
      <w:tr w:rsidR="00957A42" w:rsidRPr="000C3750" w:rsidTr="00743EF9">
        <w:trPr>
          <w:jc w:val="center"/>
        </w:trPr>
        <w:tc>
          <w:tcPr>
            <w:tcW w:w="1205" w:type="dxa"/>
            <w:tcBorders>
              <w:bottom w:val="single" w:sz="4" w:space="0" w:color="auto"/>
            </w:tcBorders>
            <w:shd w:val="clear" w:color="auto" w:fill="auto"/>
          </w:tcPr>
          <w:p w:rsidR="008C27DD" w:rsidRPr="000C3750" w:rsidRDefault="00957A42" w:rsidP="00743EF9">
            <w:pPr>
              <w:spacing w:after="0" w:line="240" w:lineRule="auto"/>
              <w:rPr>
                <w:sz w:val="20"/>
                <w:szCs w:val="20"/>
              </w:rPr>
            </w:pPr>
            <w:r w:rsidRPr="000C3750">
              <w:rPr>
                <w:sz w:val="20"/>
                <w:szCs w:val="20"/>
              </w:rPr>
              <w:t>3.0</w:t>
            </w:r>
          </w:p>
        </w:tc>
        <w:tc>
          <w:tcPr>
            <w:tcW w:w="833" w:type="dxa"/>
            <w:gridSpan w:val="2"/>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6.15a</w:t>
            </w:r>
          </w:p>
        </w:tc>
        <w:tc>
          <w:tcPr>
            <w:tcW w:w="1319"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0.01c</w:t>
            </w:r>
          </w:p>
        </w:tc>
        <w:tc>
          <w:tcPr>
            <w:tcW w:w="755"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9.20a</w:t>
            </w:r>
          </w:p>
        </w:tc>
        <w:tc>
          <w:tcPr>
            <w:tcW w:w="826"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27.48a</w:t>
            </w:r>
          </w:p>
        </w:tc>
        <w:tc>
          <w:tcPr>
            <w:tcW w:w="90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14.04a</w:t>
            </w:r>
          </w:p>
        </w:tc>
        <w:tc>
          <w:tcPr>
            <w:tcW w:w="951"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2.82a</w:t>
            </w:r>
          </w:p>
        </w:tc>
        <w:tc>
          <w:tcPr>
            <w:tcW w:w="1162"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8.91a</w:t>
            </w:r>
          </w:p>
        </w:tc>
        <w:tc>
          <w:tcPr>
            <w:tcW w:w="117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1.47a</w:t>
            </w:r>
          </w:p>
        </w:tc>
      </w:tr>
      <w:tr w:rsidR="00957A42" w:rsidRPr="000C3750" w:rsidTr="00743EF9">
        <w:trPr>
          <w:jc w:val="center"/>
        </w:trPr>
        <w:tc>
          <w:tcPr>
            <w:tcW w:w="1205"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b/>
                <w:sz w:val="20"/>
                <w:szCs w:val="20"/>
              </w:rPr>
            </w:pPr>
            <w:r w:rsidRPr="000C3750">
              <w:rPr>
                <w:b/>
                <w:sz w:val="20"/>
                <w:szCs w:val="20"/>
              </w:rPr>
              <w:t>LSD (0.05)</w:t>
            </w:r>
          </w:p>
        </w:tc>
        <w:tc>
          <w:tcPr>
            <w:tcW w:w="833" w:type="dxa"/>
            <w:gridSpan w:val="2"/>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0.11</w:t>
            </w:r>
          </w:p>
        </w:tc>
        <w:tc>
          <w:tcPr>
            <w:tcW w:w="1319"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0.057</w:t>
            </w:r>
          </w:p>
        </w:tc>
        <w:tc>
          <w:tcPr>
            <w:tcW w:w="755"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0.74</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0.73</w:t>
            </w:r>
          </w:p>
        </w:tc>
        <w:tc>
          <w:tcPr>
            <w:tcW w:w="908"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0.47</w:t>
            </w:r>
          </w:p>
        </w:tc>
        <w:tc>
          <w:tcPr>
            <w:tcW w:w="951"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0.20</w:t>
            </w: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0.59</w:t>
            </w: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0.17</w:t>
            </w:r>
          </w:p>
        </w:tc>
      </w:tr>
      <w:tr w:rsidR="00ED57DD" w:rsidRPr="000C3750" w:rsidTr="00743EF9">
        <w:trPr>
          <w:jc w:val="center"/>
        </w:trPr>
        <w:tc>
          <w:tcPr>
            <w:tcW w:w="4112" w:type="dxa"/>
            <w:gridSpan w:val="5"/>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r w:rsidRPr="000C3750">
              <w:rPr>
                <w:b/>
                <w:sz w:val="20"/>
                <w:szCs w:val="20"/>
              </w:rPr>
              <w:t>Locations (</w:t>
            </w:r>
            <w:proofErr w:type="spellStart"/>
            <w:r w:rsidRPr="000C3750">
              <w:rPr>
                <w:b/>
                <w:sz w:val="20"/>
                <w:szCs w:val="20"/>
              </w:rPr>
              <w:t>Loc</w:t>
            </w:r>
            <w:proofErr w:type="spellEnd"/>
            <w:r w:rsidRPr="000C3750">
              <w:rPr>
                <w:b/>
                <w:sz w:val="20"/>
                <w:szCs w:val="20"/>
              </w:rPr>
              <w:t>)</w:t>
            </w:r>
          </w:p>
        </w:tc>
        <w:tc>
          <w:tcPr>
            <w:tcW w:w="826"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p>
        </w:tc>
        <w:tc>
          <w:tcPr>
            <w:tcW w:w="90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p>
        </w:tc>
        <w:tc>
          <w:tcPr>
            <w:tcW w:w="951"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p>
        </w:tc>
        <w:tc>
          <w:tcPr>
            <w:tcW w:w="1162"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p>
        </w:tc>
        <w:tc>
          <w:tcPr>
            <w:tcW w:w="1178" w:type="dxa"/>
            <w:tcBorders>
              <w:top w:val="single" w:sz="4" w:space="0" w:color="auto"/>
              <w:bottom w:val="single" w:sz="4" w:space="0" w:color="auto"/>
            </w:tcBorders>
            <w:shd w:val="clear" w:color="auto" w:fill="auto"/>
          </w:tcPr>
          <w:p w:rsidR="008C27DD" w:rsidRPr="000C3750" w:rsidRDefault="008C27DD" w:rsidP="00743EF9">
            <w:pPr>
              <w:spacing w:after="0" w:line="240" w:lineRule="auto"/>
              <w:rPr>
                <w:sz w:val="20"/>
                <w:szCs w:val="20"/>
              </w:rPr>
            </w:pPr>
          </w:p>
        </w:tc>
      </w:tr>
      <w:tr w:rsidR="00957A42" w:rsidRPr="000C3750" w:rsidTr="00743EF9">
        <w:trPr>
          <w:jc w:val="center"/>
        </w:trPr>
        <w:tc>
          <w:tcPr>
            <w:tcW w:w="1205" w:type="dxa"/>
            <w:tcBorders>
              <w:top w:val="single" w:sz="4" w:space="0" w:color="auto"/>
            </w:tcBorders>
            <w:shd w:val="clear" w:color="auto" w:fill="auto"/>
          </w:tcPr>
          <w:p w:rsidR="008C27DD" w:rsidRPr="000C3750" w:rsidRDefault="008C27DD" w:rsidP="00743EF9">
            <w:pPr>
              <w:spacing w:after="0" w:line="240" w:lineRule="auto"/>
              <w:rPr>
                <w:sz w:val="20"/>
                <w:szCs w:val="20"/>
              </w:rPr>
            </w:pPr>
            <w:r w:rsidRPr="000C3750">
              <w:rPr>
                <w:sz w:val="20"/>
                <w:szCs w:val="20"/>
              </w:rPr>
              <w:t>Bekoji</w:t>
            </w:r>
          </w:p>
        </w:tc>
        <w:tc>
          <w:tcPr>
            <w:tcW w:w="833" w:type="dxa"/>
            <w:gridSpan w:val="2"/>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5.71b</w:t>
            </w:r>
          </w:p>
        </w:tc>
        <w:tc>
          <w:tcPr>
            <w:tcW w:w="1319"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0.22a</w:t>
            </w:r>
          </w:p>
        </w:tc>
        <w:tc>
          <w:tcPr>
            <w:tcW w:w="755"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7.91b</w:t>
            </w:r>
          </w:p>
        </w:tc>
        <w:tc>
          <w:tcPr>
            <w:tcW w:w="826"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23.78b</w:t>
            </w:r>
          </w:p>
        </w:tc>
        <w:tc>
          <w:tcPr>
            <w:tcW w:w="90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13.68b</w:t>
            </w:r>
          </w:p>
        </w:tc>
        <w:tc>
          <w:tcPr>
            <w:tcW w:w="951"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2.34b</w:t>
            </w:r>
          </w:p>
        </w:tc>
        <w:tc>
          <w:tcPr>
            <w:tcW w:w="1162"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8.38b</w:t>
            </w:r>
          </w:p>
        </w:tc>
        <w:tc>
          <w:tcPr>
            <w:tcW w:w="1178" w:type="dxa"/>
            <w:tcBorders>
              <w:top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1.35</w:t>
            </w:r>
          </w:p>
        </w:tc>
      </w:tr>
      <w:tr w:rsidR="00957A42" w:rsidRPr="000C3750" w:rsidTr="00743EF9">
        <w:trPr>
          <w:jc w:val="center"/>
        </w:trPr>
        <w:tc>
          <w:tcPr>
            <w:tcW w:w="1205" w:type="dxa"/>
            <w:tcBorders>
              <w:bottom w:val="single" w:sz="4" w:space="0" w:color="auto"/>
            </w:tcBorders>
            <w:shd w:val="clear" w:color="auto" w:fill="auto"/>
          </w:tcPr>
          <w:p w:rsidR="008C27DD" w:rsidRPr="000C3750" w:rsidRDefault="008C27DD" w:rsidP="00743EF9">
            <w:pPr>
              <w:spacing w:after="0" w:line="240" w:lineRule="auto"/>
              <w:rPr>
                <w:sz w:val="20"/>
                <w:szCs w:val="20"/>
              </w:rPr>
            </w:pPr>
            <w:r w:rsidRPr="000C3750">
              <w:rPr>
                <w:sz w:val="20"/>
                <w:szCs w:val="20"/>
              </w:rPr>
              <w:t>Kofele</w:t>
            </w:r>
          </w:p>
        </w:tc>
        <w:tc>
          <w:tcPr>
            <w:tcW w:w="833" w:type="dxa"/>
            <w:gridSpan w:val="2"/>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5.92a</w:t>
            </w:r>
          </w:p>
        </w:tc>
        <w:tc>
          <w:tcPr>
            <w:tcW w:w="1319"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0.11b</w:t>
            </w:r>
          </w:p>
        </w:tc>
        <w:tc>
          <w:tcPr>
            <w:tcW w:w="755"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8.72a</w:t>
            </w:r>
          </w:p>
        </w:tc>
        <w:tc>
          <w:tcPr>
            <w:tcW w:w="826"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27.54a</w:t>
            </w:r>
          </w:p>
        </w:tc>
        <w:tc>
          <w:tcPr>
            <w:tcW w:w="90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14.26a</w:t>
            </w:r>
          </w:p>
        </w:tc>
        <w:tc>
          <w:tcPr>
            <w:tcW w:w="951"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2.56a</w:t>
            </w:r>
          </w:p>
        </w:tc>
        <w:tc>
          <w:tcPr>
            <w:tcW w:w="1162"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8.91a</w:t>
            </w:r>
          </w:p>
        </w:tc>
        <w:tc>
          <w:tcPr>
            <w:tcW w:w="1178" w:type="dxa"/>
            <w:tcBorders>
              <w:bottom w:val="single" w:sz="4" w:space="0" w:color="auto"/>
            </w:tcBorders>
            <w:shd w:val="clear" w:color="auto" w:fill="auto"/>
          </w:tcPr>
          <w:p w:rsidR="008C27DD" w:rsidRPr="000C3750" w:rsidRDefault="008C27DD" w:rsidP="00743EF9">
            <w:pPr>
              <w:spacing w:after="0" w:line="240" w:lineRule="auto"/>
              <w:jc w:val="center"/>
              <w:rPr>
                <w:sz w:val="20"/>
                <w:szCs w:val="20"/>
              </w:rPr>
            </w:pPr>
            <w:r w:rsidRPr="000C3750">
              <w:rPr>
                <w:sz w:val="20"/>
                <w:szCs w:val="20"/>
              </w:rPr>
              <w:t>1.35</w:t>
            </w:r>
          </w:p>
        </w:tc>
      </w:tr>
      <w:tr w:rsidR="00957A42" w:rsidRPr="000C3750" w:rsidTr="00B32BE6">
        <w:trPr>
          <w:jc w:val="center"/>
        </w:trPr>
        <w:tc>
          <w:tcPr>
            <w:tcW w:w="1205" w:type="dxa"/>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rPr>
                <w:b/>
                <w:sz w:val="20"/>
                <w:szCs w:val="20"/>
              </w:rPr>
            </w:pPr>
            <w:r w:rsidRPr="000C3750">
              <w:rPr>
                <w:b/>
                <w:sz w:val="20"/>
                <w:szCs w:val="20"/>
              </w:rPr>
              <w:t>LSD (0.05)</w:t>
            </w:r>
          </w:p>
        </w:tc>
        <w:tc>
          <w:tcPr>
            <w:tcW w:w="833" w:type="dxa"/>
            <w:gridSpan w:val="2"/>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0.093</w:t>
            </w:r>
          </w:p>
        </w:tc>
        <w:tc>
          <w:tcPr>
            <w:tcW w:w="1319" w:type="dxa"/>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0.046</w:t>
            </w:r>
          </w:p>
        </w:tc>
        <w:tc>
          <w:tcPr>
            <w:tcW w:w="755" w:type="dxa"/>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0.61</w:t>
            </w:r>
          </w:p>
        </w:tc>
        <w:tc>
          <w:tcPr>
            <w:tcW w:w="826" w:type="dxa"/>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0.59</w:t>
            </w:r>
          </w:p>
        </w:tc>
        <w:tc>
          <w:tcPr>
            <w:tcW w:w="908" w:type="dxa"/>
            <w:tcBorders>
              <w:top w:val="single" w:sz="4" w:space="0" w:color="auto"/>
              <w:bottom w:val="single" w:sz="12" w:space="0" w:color="FFFFFF" w:themeColor="background1"/>
              <w:right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0.39</w:t>
            </w:r>
          </w:p>
        </w:tc>
        <w:tc>
          <w:tcPr>
            <w:tcW w:w="951" w:type="dxa"/>
            <w:tcBorders>
              <w:top w:val="single" w:sz="4" w:space="0" w:color="auto"/>
              <w:left w:val="single" w:sz="12" w:space="0" w:color="FFFFFF" w:themeColor="background1"/>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0.16</w:t>
            </w:r>
          </w:p>
        </w:tc>
        <w:tc>
          <w:tcPr>
            <w:tcW w:w="1162" w:type="dxa"/>
            <w:tcBorders>
              <w:top w:val="single" w:sz="4" w:space="0" w:color="auto"/>
              <w:bottom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0.48</w:t>
            </w:r>
          </w:p>
        </w:tc>
        <w:tc>
          <w:tcPr>
            <w:tcW w:w="1178" w:type="dxa"/>
            <w:tcBorders>
              <w:top w:val="single" w:sz="4" w:space="0" w:color="auto"/>
              <w:bottom w:val="single" w:sz="12" w:space="0" w:color="FFFFFF" w:themeColor="background1"/>
            </w:tcBorders>
            <w:shd w:val="clear" w:color="auto" w:fill="auto"/>
          </w:tcPr>
          <w:p w:rsidR="008C27DD" w:rsidRPr="000C3750" w:rsidRDefault="007D0607" w:rsidP="00743EF9">
            <w:pPr>
              <w:spacing w:after="0" w:line="240" w:lineRule="auto"/>
              <w:jc w:val="center"/>
              <w:rPr>
                <w:b/>
                <w:sz w:val="20"/>
                <w:szCs w:val="20"/>
              </w:rPr>
            </w:pPr>
            <w:r w:rsidRPr="000C3750">
              <w:rPr>
                <w:b/>
                <w:sz w:val="20"/>
                <w:szCs w:val="20"/>
              </w:rPr>
              <w:t>Ns</w:t>
            </w:r>
          </w:p>
        </w:tc>
      </w:tr>
      <w:tr w:rsidR="00957A42" w:rsidRPr="000C3750" w:rsidTr="00B32BE6">
        <w:trPr>
          <w:jc w:val="center"/>
        </w:trPr>
        <w:tc>
          <w:tcPr>
            <w:tcW w:w="1205" w:type="dxa"/>
            <w:tcBorders>
              <w:top w:val="single" w:sz="12" w:space="0" w:color="FFFFFF" w:themeColor="background1"/>
            </w:tcBorders>
            <w:shd w:val="clear" w:color="auto" w:fill="auto"/>
          </w:tcPr>
          <w:p w:rsidR="008C27DD" w:rsidRPr="000C3750" w:rsidRDefault="008C27DD" w:rsidP="00743EF9">
            <w:pPr>
              <w:spacing w:after="0" w:line="240" w:lineRule="auto"/>
              <w:rPr>
                <w:b/>
                <w:sz w:val="20"/>
                <w:szCs w:val="20"/>
              </w:rPr>
            </w:pPr>
            <w:r w:rsidRPr="000C3750">
              <w:rPr>
                <w:b/>
                <w:sz w:val="20"/>
                <w:szCs w:val="20"/>
              </w:rPr>
              <w:t>CV (%)</w:t>
            </w:r>
          </w:p>
        </w:tc>
        <w:tc>
          <w:tcPr>
            <w:tcW w:w="833" w:type="dxa"/>
            <w:gridSpan w:val="2"/>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3.5</w:t>
            </w:r>
          </w:p>
        </w:tc>
        <w:tc>
          <w:tcPr>
            <w:tcW w:w="1319" w:type="dxa"/>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6.0</w:t>
            </w:r>
          </w:p>
        </w:tc>
        <w:tc>
          <w:tcPr>
            <w:tcW w:w="755" w:type="dxa"/>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10.5</w:t>
            </w:r>
          </w:p>
        </w:tc>
        <w:tc>
          <w:tcPr>
            <w:tcW w:w="826" w:type="dxa"/>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4.9</w:t>
            </w:r>
          </w:p>
        </w:tc>
        <w:tc>
          <w:tcPr>
            <w:tcW w:w="908" w:type="dxa"/>
            <w:tcBorders>
              <w:top w:val="single" w:sz="12" w:space="0" w:color="FFFFFF" w:themeColor="background1"/>
              <w:right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5.8</w:t>
            </w:r>
          </w:p>
        </w:tc>
        <w:tc>
          <w:tcPr>
            <w:tcW w:w="951" w:type="dxa"/>
            <w:tcBorders>
              <w:top w:val="single" w:sz="12" w:space="0" w:color="FFFFFF" w:themeColor="background1"/>
              <w:left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14.0</w:t>
            </w:r>
          </w:p>
        </w:tc>
        <w:tc>
          <w:tcPr>
            <w:tcW w:w="1162" w:type="dxa"/>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11.7</w:t>
            </w:r>
          </w:p>
        </w:tc>
        <w:tc>
          <w:tcPr>
            <w:tcW w:w="1178" w:type="dxa"/>
            <w:tcBorders>
              <w:top w:val="single" w:sz="12" w:space="0" w:color="FFFFFF" w:themeColor="background1"/>
            </w:tcBorders>
            <w:shd w:val="clear" w:color="auto" w:fill="auto"/>
          </w:tcPr>
          <w:p w:rsidR="008C27DD" w:rsidRPr="000C3750" w:rsidRDefault="008C27DD" w:rsidP="00743EF9">
            <w:pPr>
              <w:spacing w:after="0" w:line="240" w:lineRule="auto"/>
              <w:jc w:val="center"/>
              <w:rPr>
                <w:b/>
                <w:sz w:val="20"/>
                <w:szCs w:val="20"/>
              </w:rPr>
            </w:pPr>
            <w:r w:rsidRPr="000C3750">
              <w:rPr>
                <w:b/>
                <w:sz w:val="20"/>
                <w:szCs w:val="20"/>
              </w:rPr>
              <w:t>12.0</w:t>
            </w:r>
          </w:p>
        </w:tc>
      </w:tr>
    </w:tbl>
    <w:p w:rsidR="00714351" w:rsidRPr="000C3750" w:rsidRDefault="00714351" w:rsidP="0054643E">
      <w:pPr>
        <w:pStyle w:val="BodyText3"/>
      </w:pPr>
      <w:r>
        <w:t xml:space="preserve">Means within column followed by the same letter (s) are not statistically different from each other, Ns = statistically </w:t>
      </w:r>
      <w:proofErr w:type="spellStart"/>
      <w:r>
        <w:t>nonsignificant</w:t>
      </w:r>
      <w:proofErr w:type="spellEnd"/>
      <w:r>
        <w:t xml:space="preserve"> </w:t>
      </w:r>
    </w:p>
    <w:p w:rsidR="005D5154" w:rsidRPr="000C3750" w:rsidRDefault="00223C93" w:rsidP="00CA176A">
      <w:pPr>
        <w:pStyle w:val="ListParagraph"/>
        <w:numPr>
          <w:ilvl w:val="1"/>
          <w:numId w:val="16"/>
        </w:numPr>
        <w:spacing w:after="0" w:line="360" w:lineRule="auto"/>
        <w:jc w:val="both"/>
        <w:rPr>
          <w:rFonts w:ascii="Times New Roman" w:eastAsiaTheme="minorHAnsi" w:hAnsi="Times New Roman"/>
          <w:b/>
          <w:sz w:val="24"/>
          <w:szCs w:val="24"/>
        </w:rPr>
      </w:pPr>
      <w:r w:rsidRPr="000C3750">
        <w:rPr>
          <w:rFonts w:ascii="Times New Roman" w:eastAsiaTheme="minorHAnsi" w:hAnsi="Times New Roman"/>
          <w:b/>
          <w:sz w:val="24"/>
          <w:szCs w:val="24"/>
        </w:rPr>
        <w:t xml:space="preserve">The effects of P and lime on the yield component and the yield of malt barley </w:t>
      </w:r>
    </w:p>
    <w:p w:rsidR="00901E5B" w:rsidRPr="000C3750" w:rsidRDefault="00D73440" w:rsidP="00CA176A">
      <w:pPr>
        <w:spacing w:after="0" w:line="360" w:lineRule="auto"/>
        <w:jc w:val="both"/>
        <w:rPr>
          <w:szCs w:val="24"/>
        </w:rPr>
      </w:pPr>
      <w:r w:rsidRPr="000C3750">
        <w:rPr>
          <w:szCs w:val="24"/>
        </w:rPr>
        <w:t>The interactions, as well as the main effects of P, lime, and location, significantly (p&lt;0.05) affected the yield and the components of the malt barley yield (</w:t>
      </w:r>
      <w:r w:rsidRPr="000C3750">
        <w:rPr>
          <w:b/>
          <w:szCs w:val="24"/>
        </w:rPr>
        <w:t>Table 3 and 4</w:t>
      </w:r>
      <w:r w:rsidRPr="000C3750">
        <w:rPr>
          <w:szCs w:val="24"/>
        </w:rPr>
        <w:t>). Plant height (88.6-103.5cm), number of tillers per plant (4.4-6.1), spike length (8.6-9.3cm), number of seeds per spike (27.3-34.7), grain yield (2.85-4.38tha</w:t>
      </w:r>
      <w:r w:rsidRPr="000C3750">
        <w:rPr>
          <w:szCs w:val="24"/>
          <w:vertAlign w:val="superscript"/>
        </w:rPr>
        <w:t>-1</w:t>
      </w:r>
      <w:r w:rsidRPr="000C3750">
        <w:rPr>
          <w:szCs w:val="24"/>
        </w:rPr>
        <w:t xml:space="preserve">) and aboveground biomass yield (7.04-11.01 </w:t>
      </w:r>
      <w:r w:rsidRPr="000C3750">
        <w:rPr>
          <w:szCs w:val="24"/>
        </w:rPr>
        <w:lastRenderedPageBreak/>
        <w:t>tha</w:t>
      </w:r>
      <w:r w:rsidRPr="000C3750">
        <w:rPr>
          <w:szCs w:val="24"/>
          <w:vertAlign w:val="superscript"/>
        </w:rPr>
        <w:t>-1</w:t>
      </w:r>
      <w:r w:rsidRPr="000C3750">
        <w:rPr>
          <w:szCs w:val="24"/>
        </w:rPr>
        <w:t>) were significantly increased with increasing rates of P (0-30 kgha</w:t>
      </w:r>
      <w:r w:rsidRPr="000C3750">
        <w:rPr>
          <w:szCs w:val="24"/>
          <w:vertAlign w:val="superscript"/>
        </w:rPr>
        <w:t>-1</w:t>
      </w:r>
      <w:r w:rsidRPr="000C3750">
        <w:rPr>
          <w:szCs w:val="24"/>
        </w:rPr>
        <w:t>) and lime (0 to 3 tha</w:t>
      </w:r>
      <w:r w:rsidRPr="000C3750">
        <w:rPr>
          <w:szCs w:val="24"/>
          <w:vertAlign w:val="superscript"/>
        </w:rPr>
        <w:t>-1</w:t>
      </w:r>
      <w:r w:rsidRPr="000C3750">
        <w:rPr>
          <w:szCs w:val="24"/>
        </w:rPr>
        <w:t xml:space="preserve">) at both locations, respectively. The highest values of these parameters were obtained at </w:t>
      </w:r>
      <w:smartTag w:uri="urn:schemas-microsoft-com:office:smarttags" w:element="metricconverter">
        <w:smartTagPr>
          <w:attr w:name="ProductID" w:val="30 kg"/>
        </w:smartTagPr>
        <w:r>
          <w:rPr>
            <w:szCs w:val="24"/>
          </w:rPr>
          <w:t>30kg</w:t>
        </w:r>
      </w:smartTag>
      <w:r w:rsidRPr="000C3750">
        <w:rPr>
          <w:szCs w:val="24"/>
        </w:rPr>
        <w:t xml:space="preserve"> P ha</w:t>
      </w:r>
      <w:r w:rsidRPr="000C3750">
        <w:rPr>
          <w:szCs w:val="24"/>
          <w:vertAlign w:val="superscript"/>
        </w:rPr>
        <w:t xml:space="preserve">-1 </w:t>
      </w:r>
      <w:r w:rsidRPr="000C3750">
        <w:rPr>
          <w:szCs w:val="24"/>
        </w:rPr>
        <w:t xml:space="preserve">and the lowest value was obtained from the control treatments. The present result is in line with the finding of </w:t>
      </w:r>
      <w:proofErr w:type="spellStart"/>
      <w:r w:rsidRPr="000C3750">
        <w:rPr>
          <w:szCs w:val="24"/>
        </w:rPr>
        <w:t>Tadesse</w:t>
      </w:r>
      <w:proofErr w:type="spellEnd"/>
      <w:r w:rsidRPr="000C3750">
        <w:rPr>
          <w:szCs w:val="24"/>
        </w:rPr>
        <w:t xml:space="preserve"> </w:t>
      </w:r>
      <w:r w:rsidRPr="000C3750">
        <w:rPr>
          <w:i/>
          <w:szCs w:val="24"/>
        </w:rPr>
        <w:t>et</w:t>
      </w:r>
      <w:r w:rsidRPr="000C3750">
        <w:rPr>
          <w:szCs w:val="24"/>
        </w:rPr>
        <w:t xml:space="preserve"> </w:t>
      </w:r>
      <w:r w:rsidRPr="000C3750">
        <w:rPr>
          <w:i/>
          <w:szCs w:val="24"/>
        </w:rPr>
        <w:t>al</w:t>
      </w:r>
      <w:r w:rsidRPr="000C3750">
        <w:rPr>
          <w:szCs w:val="24"/>
        </w:rPr>
        <w:t xml:space="preserve">. (2018) who reported that the application of P has significantly increased the height of the malt barley plant in the </w:t>
      </w:r>
      <w:proofErr w:type="spellStart"/>
      <w:r w:rsidRPr="000C3750">
        <w:rPr>
          <w:szCs w:val="24"/>
        </w:rPr>
        <w:t>Welmera</w:t>
      </w:r>
      <w:proofErr w:type="spellEnd"/>
      <w:r w:rsidRPr="000C3750">
        <w:rPr>
          <w:szCs w:val="24"/>
        </w:rPr>
        <w:t xml:space="preserve"> district in central Ethiopia.</w:t>
      </w:r>
      <w:r w:rsidRPr="000C3750">
        <w:t xml:space="preserve"> As far as location by P rate and lime interactions are concerned, the maximum</w:t>
      </w:r>
      <w:r w:rsidRPr="000C3750">
        <w:rPr>
          <w:szCs w:val="24"/>
        </w:rPr>
        <w:t xml:space="preserve"> number of tillers per plant (103.4 cm), spike length (9.3cm) and grain yield (4.38tha</w:t>
      </w:r>
      <w:r w:rsidRPr="000C3750">
        <w:rPr>
          <w:szCs w:val="24"/>
          <w:vertAlign w:val="superscript"/>
        </w:rPr>
        <w:t>-1</w:t>
      </w:r>
      <w:r w:rsidRPr="000C3750">
        <w:rPr>
          <w:szCs w:val="24"/>
        </w:rPr>
        <w:t xml:space="preserve">) were </w:t>
      </w:r>
      <w:r w:rsidRPr="000C3750">
        <w:t xml:space="preserve">produced in Kofele under the P rate of </w:t>
      </w:r>
      <w:smartTag w:uri="urn:schemas-microsoft-com:office:smarttags" w:element="metricconverter">
        <w:smartTagPr>
          <w:attr w:name="ProductID" w:val="30 kg"/>
        </w:smartTagPr>
        <w:r>
          <w:t>30 kg</w:t>
        </w:r>
      </w:smartTag>
      <w:r w:rsidRPr="000C3750">
        <w:t xml:space="preserve"> ha</w:t>
      </w:r>
      <w:r w:rsidRPr="000C3750">
        <w:rPr>
          <w:vertAlign w:val="superscript"/>
        </w:rPr>
        <w:t>-1</w:t>
      </w:r>
      <w:r w:rsidRPr="000C3750">
        <w:t>, while the lowest values were  recorded from the control treatment in both locations, respectively (</w:t>
      </w:r>
      <w:r w:rsidRPr="000C3750">
        <w:rPr>
          <w:b/>
        </w:rPr>
        <w:t>Table 3 and 4</w:t>
      </w:r>
      <w:r w:rsidRPr="000C3750">
        <w:t>).</w:t>
      </w:r>
    </w:p>
    <w:p w:rsidR="00901E5B" w:rsidRPr="000C3750" w:rsidRDefault="00901E5B" w:rsidP="00CA176A">
      <w:pPr>
        <w:spacing w:after="0" w:line="360" w:lineRule="auto"/>
        <w:jc w:val="both"/>
        <w:rPr>
          <w:szCs w:val="24"/>
        </w:rPr>
      </w:pPr>
      <w:r w:rsidRPr="000C3750">
        <w:rPr>
          <w:szCs w:val="24"/>
        </w:rPr>
        <w:t>Similarly, lime application has significantly increased malt barley growth and yield components, and the highest parameters values of the parameters were obtained with 3tha</w:t>
      </w:r>
      <w:r w:rsidRPr="000C3750">
        <w:rPr>
          <w:szCs w:val="24"/>
          <w:vertAlign w:val="superscript"/>
        </w:rPr>
        <w:t>-1</w:t>
      </w:r>
      <w:r w:rsidRPr="000C3750">
        <w:rPr>
          <w:szCs w:val="24"/>
        </w:rPr>
        <w:t xml:space="preserve"> followed by 1.5tha</w:t>
      </w:r>
      <w:r w:rsidRPr="000C3750">
        <w:rPr>
          <w:szCs w:val="24"/>
          <w:vertAlign w:val="superscript"/>
        </w:rPr>
        <w:t>-1</w:t>
      </w:r>
      <w:r w:rsidRPr="000C3750">
        <w:rPr>
          <w:szCs w:val="24"/>
        </w:rPr>
        <w:t>and the least values of plant height, number of tillers per plant, spike length, number of seeds per spike, grain yield and aboveground biomass yield were obtained in plots that were not treated with lime (0 tha</w:t>
      </w:r>
      <w:r w:rsidRPr="000C3750">
        <w:rPr>
          <w:szCs w:val="24"/>
          <w:vertAlign w:val="superscript"/>
        </w:rPr>
        <w:t>-1</w:t>
      </w:r>
      <w:r w:rsidRPr="000C3750">
        <w:rPr>
          <w:szCs w:val="24"/>
        </w:rPr>
        <w:t>). The apparent significant improvement in the growth and production components of malt could be due to a reduction in the direct adverse effects of soil acidity (H</w:t>
      </w:r>
      <w:r w:rsidRPr="000C3750">
        <w:rPr>
          <w:szCs w:val="24"/>
          <w:vertAlign w:val="superscript"/>
        </w:rPr>
        <w:t>+</w:t>
      </w:r>
      <w:r w:rsidRPr="000C3750">
        <w:rPr>
          <w:szCs w:val="24"/>
        </w:rPr>
        <w:t xml:space="preserve"> and/or Al</w:t>
      </w:r>
      <w:r w:rsidRPr="000C3750">
        <w:rPr>
          <w:szCs w:val="24"/>
          <w:vertAlign w:val="superscript"/>
        </w:rPr>
        <w:t>3+</w:t>
      </w:r>
      <w:r w:rsidRPr="000C3750">
        <w:rPr>
          <w:szCs w:val="24"/>
        </w:rPr>
        <w:t>) and increased availability of nutrients in the lime-treated plots compared to the control.  This can be proven by the results of selected soil physicochemical properties after harvest shown in Table 2 where soil pH increased significantly in lime-treated soils compared to control.</w:t>
      </w:r>
    </w:p>
    <w:p w:rsidR="00FE2389" w:rsidRPr="000C3750" w:rsidRDefault="00901E5B" w:rsidP="00CA176A">
      <w:pPr>
        <w:spacing w:after="0" w:line="360" w:lineRule="auto"/>
        <w:jc w:val="both"/>
        <w:rPr>
          <w:szCs w:val="24"/>
        </w:rPr>
      </w:pPr>
      <w:r>
        <w:rPr>
          <w:szCs w:val="24"/>
        </w:rPr>
        <w:t>The location had also significantly affected malt barley growth and yield components, and therefore significantly higher values of plant height, number of tillers per plant, spike length, grain yield, and aboveground biomass yield were obtained in Kofele than in Bekoji (</w:t>
      </w:r>
      <w:r>
        <w:rPr>
          <w:b/>
          <w:szCs w:val="24"/>
        </w:rPr>
        <w:t>Table 3 and 4).</w:t>
      </w:r>
      <w:r>
        <w:rPr>
          <w:szCs w:val="24"/>
        </w:rPr>
        <w:t xml:space="preserve"> These differences could be attributed to variations in soil fertility and weather variables that can be observed between these locations. For example, the soil of the Kofele location had higher OC, TN, and </w:t>
      </w:r>
      <w:proofErr w:type="spellStart"/>
      <w:r>
        <w:rPr>
          <w:szCs w:val="24"/>
        </w:rPr>
        <w:t>avP</w:t>
      </w:r>
      <w:proofErr w:type="spellEnd"/>
      <w:r>
        <w:rPr>
          <w:szCs w:val="24"/>
        </w:rPr>
        <w:t xml:space="preserve"> contents than those of Bekoji. Moreover, the location of Kofele is warmer than that of Bekoji, which favors better growth and development of the crop (</w:t>
      </w:r>
      <w:proofErr w:type="spellStart"/>
      <w:r>
        <w:rPr>
          <w:szCs w:val="24"/>
        </w:rPr>
        <w:t>Berhane</w:t>
      </w:r>
      <w:proofErr w:type="spellEnd"/>
      <w:r>
        <w:rPr>
          <w:szCs w:val="24"/>
        </w:rPr>
        <w:t xml:space="preserve"> </w:t>
      </w:r>
      <w:r>
        <w:rPr>
          <w:i/>
          <w:szCs w:val="24"/>
        </w:rPr>
        <w:t>et al.,</w:t>
      </w:r>
      <w:r>
        <w:rPr>
          <w:szCs w:val="24"/>
        </w:rPr>
        <w:t xml:space="preserve"> 1996).</w:t>
      </w:r>
    </w:p>
    <w:p w:rsidR="00FE2389" w:rsidRPr="000C3750" w:rsidRDefault="00FE2389" w:rsidP="001E3779">
      <w:pPr>
        <w:pStyle w:val="NoSpacing"/>
        <w:spacing w:after="160" w:line="259" w:lineRule="auto"/>
        <w:rPr>
          <w:szCs w:val="24"/>
        </w:rPr>
      </w:pPr>
      <w:r>
        <w:rPr>
          <w:szCs w:val="24"/>
        </w:rPr>
        <w:br w:type="page"/>
      </w:r>
    </w:p>
    <w:p w:rsidR="00901E5B" w:rsidRPr="000C3750" w:rsidRDefault="009747C3" w:rsidP="00901E5B">
      <w:pPr>
        <w:spacing w:after="0" w:line="360" w:lineRule="auto"/>
        <w:jc w:val="both"/>
        <w:rPr>
          <w:b/>
        </w:rPr>
      </w:pPr>
      <w:r w:rsidRPr="000C3750">
        <w:rPr>
          <w:b/>
        </w:rPr>
        <w:lastRenderedPageBreak/>
        <w:t>Table 3: Main effects of phosphorus and lime application on the growth and yield components of malt barley grown in the Bekoji and Kofele districts</w:t>
      </w:r>
    </w:p>
    <w:tbl>
      <w:tblPr>
        <w:tblW w:w="7528" w:type="dxa"/>
        <w:jc w:val="center"/>
        <w:tblBorders>
          <w:top w:val="single" w:sz="4" w:space="0" w:color="auto"/>
          <w:bottom w:val="single" w:sz="4" w:space="0" w:color="auto"/>
        </w:tblBorders>
        <w:tblLook w:val="04A0" w:firstRow="1" w:lastRow="0" w:firstColumn="1" w:lastColumn="0" w:noHBand="0" w:noVBand="1"/>
      </w:tblPr>
      <w:tblGrid>
        <w:gridCol w:w="1588"/>
        <w:gridCol w:w="2690"/>
        <w:gridCol w:w="843"/>
        <w:gridCol w:w="1101"/>
        <w:gridCol w:w="1306"/>
      </w:tblGrid>
      <w:tr w:rsidR="00901E5B" w:rsidRPr="000C3750" w:rsidTr="001566C7">
        <w:trPr>
          <w:jc w:val="center"/>
        </w:trPr>
        <w:tc>
          <w:tcPr>
            <w:tcW w:w="1588" w:type="dxa"/>
            <w:tcBorders>
              <w:top w:val="single" w:sz="4" w:space="0" w:color="auto"/>
              <w:bottom w:val="single" w:sz="4" w:space="0" w:color="auto"/>
            </w:tcBorders>
            <w:shd w:val="clear" w:color="auto" w:fill="auto"/>
          </w:tcPr>
          <w:p w:rsidR="00901E5B" w:rsidRPr="000C3750" w:rsidRDefault="00901E5B" w:rsidP="00FD5A06">
            <w:pPr>
              <w:spacing w:after="0" w:line="240" w:lineRule="auto"/>
              <w:rPr>
                <w:b/>
                <w:szCs w:val="24"/>
              </w:rPr>
            </w:pPr>
            <w:r w:rsidRPr="000C3750">
              <w:rPr>
                <w:b/>
                <w:szCs w:val="24"/>
              </w:rPr>
              <w:t>Treatment</w:t>
            </w:r>
          </w:p>
        </w:tc>
        <w:tc>
          <w:tcPr>
            <w:tcW w:w="2690" w:type="dxa"/>
            <w:tcBorders>
              <w:top w:val="single" w:sz="4" w:space="0" w:color="auto"/>
              <w:bottom w:val="single" w:sz="4" w:space="0" w:color="auto"/>
            </w:tcBorders>
            <w:shd w:val="clear" w:color="auto" w:fill="auto"/>
          </w:tcPr>
          <w:p w:rsidR="00901E5B" w:rsidRPr="000C3750" w:rsidRDefault="00901E5B" w:rsidP="001566C7">
            <w:pPr>
              <w:spacing w:after="0" w:line="240" w:lineRule="auto"/>
              <w:jc w:val="center"/>
              <w:rPr>
                <w:b/>
                <w:szCs w:val="24"/>
              </w:rPr>
            </w:pPr>
            <w:r w:rsidRPr="000C3750">
              <w:rPr>
                <w:b/>
                <w:szCs w:val="24"/>
              </w:rPr>
              <w:t>PLH (cm)</w:t>
            </w:r>
          </w:p>
        </w:tc>
        <w:tc>
          <w:tcPr>
            <w:tcW w:w="843" w:type="dxa"/>
            <w:tcBorders>
              <w:top w:val="single" w:sz="4" w:space="0" w:color="auto"/>
              <w:bottom w:val="single" w:sz="4" w:space="0" w:color="auto"/>
            </w:tcBorders>
            <w:shd w:val="clear" w:color="auto" w:fill="auto"/>
          </w:tcPr>
          <w:p w:rsidR="00901E5B" w:rsidRPr="000C3750" w:rsidRDefault="00901E5B" w:rsidP="001566C7">
            <w:pPr>
              <w:pStyle w:val="Heading5"/>
            </w:pPr>
            <w:r w:rsidRPr="000C3750">
              <w:t>NTPP</w:t>
            </w:r>
          </w:p>
        </w:tc>
        <w:tc>
          <w:tcPr>
            <w:tcW w:w="1101" w:type="dxa"/>
            <w:tcBorders>
              <w:top w:val="single" w:sz="4" w:space="0" w:color="auto"/>
              <w:bottom w:val="single" w:sz="4" w:space="0" w:color="auto"/>
            </w:tcBorders>
            <w:shd w:val="clear" w:color="auto" w:fill="auto"/>
          </w:tcPr>
          <w:p w:rsidR="00901E5B" w:rsidRPr="000C3750" w:rsidRDefault="00901E5B" w:rsidP="001566C7">
            <w:pPr>
              <w:spacing w:after="0" w:line="240" w:lineRule="auto"/>
              <w:jc w:val="center"/>
              <w:rPr>
                <w:b/>
                <w:szCs w:val="24"/>
              </w:rPr>
            </w:pPr>
            <w:r w:rsidRPr="000C3750">
              <w:rPr>
                <w:b/>
                <w:szCs w:val="24"/>
              </w:rPr>
              <w:t>SL (cm)</w:t>
            </w:r>
          </w:p>
        </w:tc>
        <w:tc>
          <w:tcPr>
            <w:tcW w:w="1306" w:type="dxa"/>
            <w:tcBorders>
              <w:top w:val="single" w:sz="4" w:space="0" w:color="auto"/>
              <w:bottom w:val="single" w:sz="4" w:space="0" w:color="auto"/>
            </w:tcBorders>
            <w:shd w:val="clear" w:color="auto" w:fill="auto"/>
          </w:tcPr>
          <w:p w:rsidR="00901E5B" w:rsidRPr="000C3750" w:rsidRDefault="00901E5B" w:rsidP="00FD5A06">
            <w:pPr>
              <w:spacing w:after="0" w:line="240" w:lineRule="auto"/>
              <w:jc w:val="center"/>
              <w:rPr>
                <w:b/>
                <w:szCs w:val="24"/>
              </w:rPr>
            </w:pPr>
            <w:r w:rsidRPr="000C3750">
              <w:rPr>
                <w:b/>
                <w:szCs w:val="24"/>
              </w:rPr>
              <w:t>NSPS</w:t>
            </w:r>
          </w:p>
        </w:tc>
      </w:tr>
      <w:tr w:rsidR="00901E5B" w:rsidRPr="000C3750" w:rsidTr="001566C7">
        <w:trPr>
          <w:jc w:val="center"/>
        </w:trPr>
        <w:tc>
          <w:tcPr>
            <w:tcW w:w="7528" w:type="dxa"/>
            <w:gridSpan w:val="5"/>
            <w:tcBorders>
              <w:top w:val="nil"/>
              <w:bottom w:val="single" w:sz="4" w:space="0" w:color="auto"/>
            </w:tcBorders>
            <w:shd w:val="clear" w:color="auto" w:fill="auto"/>
          </w:tcPr>
          <w:p w:rsidR="00901E5B" w:rsidRPr="000C3750" w:rsidRDefault="00901E5B" w:rsidP="00FD5A06">
            <w:pPr>
              <w:spacing w:after="0" w:line="240" w:lineRule="auto"/>
              <w:rPr>
                <w:b/>
                <w:szCs w:val="24"/>
              </w:rPr>
            </w:pPr>
            <w:r w:rsidRPr="000C3750">
              <w:rPr>
                <w:b/>
                <w:szCs w:val="24"/>
              </w:rPr>
              <w:t>Phosphorus rates (kg ha</w:t>
            </w:r>
            <w:r w:rsidR="00BA3C7E" w:rsidRPr="000C3750">
              <w:rPr>
                <w:b/>
                <w:szCs w:val="24"/>
                <w:vertAlign w:val="superscript"/>
              </w:rPr>
              <w:t>-1</w:t>
            </w:r>
            <w:r w:rsidR="006E5F42" w:rsidRPr="000C3750">
              <w:rPr>
                <w:b/>
                <w:szCs w:val="24"/>
              </w:rPr>
              <w:t>)</w:t>
            </w:r>
          </w:p>
        </w:tc>
      </w:tr>
      <w:tr w:rsidR="00901E5B" w:rsidRPr="000C3750" w:rsidTr="001566C7">
        <w:trPr>
          <w:jc w:val="center"/>
        </w:trPr>
        <w:tc>
          <w:tcPr>
            <w:tcW w:w="1588" w:type="dxa"/>
            <w:shd w:val="clear" w:color="auto" w:fill="auto"/>
          </w:tcPr>
          <w:p w:rsidR="00901E5B" w:rsidRPr="000C3750" w:rsidRDefault="00901E5B" w:rsidP="00FD5A06">
            <w:pPr>
              <w:spacing w:after="0" w:line="240" w:lineRule="auto"/>
              <w:rPr>
                <w:szCs w:val="24"/>
              </w:rPr>
            </w:pPr>
            <w:r w:rsidRPr="000C3750">
              <w:rPr>
                <w:szCs w:val="24"/>
              </w:rPr>
              <w:t>0</w:t>
            </w:r>
          </w:p>
        </w:tc>
        <w:tc>
          <w:tcPr>
            <w:tcW w:w="2690" w:type="dxa"/>
            <w:shd w:val="clear" w:color="auto" w:fill="auto"/>
          </w:tcPr>
          <w:p w:rsidR="00901E5B" w:rsidRPr="000C3750" w:rsidRDefault="00BA3C7E" w:rsidP="00FD5A06">
            <w:pPr>
              <w:spacing w:after="0" w:line="240" w:lineRule="auto"/>
              <w:jc w:val="center"/>
              <w:rPr>
                <w:szCs w:val="24"/>
              </w:rPr>
            </w:pPr>
            <w:r w:rsidRPr="000C3750">
              <w:rPr>
                <w:szCs w:val="24"/>
              </w:rPr>
              <w:t>88.6c†</w:t>
            </w:r>
          </w:p>
        </w:tc>
        <w:tc>
          <w:tcPr>
            <w:tcW w:w="843" w:type="dxa"/>
            <w:shd w:val="clear" w:color="auto" w:fill="auto"/>
          </w:tcPr>
          <w:p w:rsidR="00901E5B" w:rsidRPr="000C3750" w:rsidRDefault="00BA3C7E" w:rsidP="00FD5A06">
            <w:pPr>
              <w:spacing w:after="0" w:line="240" w:lineRule="auto"/>
              <w:jc w:val="center"/>
              <w:rPr>
                <w:szCs w:val="24"/>
              </w:rPr>
            </w:pPr>
            <w:r w:rsidRPr="000C3750">
              <w:rPr>
                <w:szCs w:val="24"/>
              </w:rPr>
              <w:t>4.4d</w:t>
            </w:r>
          </w:p>
        </w:tc>
        <w:tc>
          <w:tcPr>
            <w:tcW w:w="1101" w:type="dxa"/>
            <w:shd w:val="clear" w:color="auto" w:fill="auto"/>
          </w:tcPr>
          <w:p w:rsidR="00901E5B" w:rsidRPr="000C3750" w:rsidRDefault="00BA3C7E" w:rsidP="00FD5A06">
            <w:pPr>
              <w:spacing w:after="0" w:line="240" w:lineRule="auto"/>
              <w:jc w:val="center"/>
              <w:rPr>
                <w:szCs w:val="24"/>
              </w:rPr>
            </w:pPr>
            <w:r w:rsidRPr="000C3750">
              <w:rPr>
                <w:szCs w:val="24"/>
              </w:rPr>
              <w:t>8.6b</w:t>
            </w:r>
          </w:p>
        </w:tc>
        <w:tc>
          <w:tcPr>
            <w:tcW w:w="1306" w:type="dxa"/>
            <w:shd w:val="clear" w:color="auto" w:fill="auto"/>
          </w:tcPr>
          <w:p w:rsidR="00901E5B" w:rsidRPr="000C3750" w:rsidRDefault="00901E5B" w:rsidP="00FD5A06">
            <w:pPr>
              <w:spacing w:after="0" w:line="240" w:lineRule="auto"/>
              <w:jc w:val="center"/>
              <w:rPr>
                <w:szCs w:val="24"/>
              </w:rPr>
            </w:pPr>
            <w:r w:rsidRPr="000C3750">
              <w:rPr>
                <w:szCs w:val="24"/>
              </w:rPr>
              <w:t>27.3c</w:t>
            </w:r>
          </w:p>
        </w:tc>
      </w:tr>
      <w:tr w:rsidR="00901E5B" w:rsidRPr="000C3750" w:rsidTr="001566C7">
        <w:trPr>
          <w:jc w:val="center"/>
        </w:trPr>
        <w:tc>
          <w:tcPr>
            <w:tcW w:w="1588" w:type="dxa"/>
            <w:shd w:val="clear" w:color="auto" w:fill="auto"/>
          </w:tcPr>
          <w:p w:rsidR="00901E5B" w:rsidRPr="000C3750" w:rsidRDefault="00901E5B" w:rsidP="00FD5A06">
            <w:pPr>
              <w:spacing w:after="0" w:line="240" w:lineRule="auto"/>
              <w:rPr>
                <w:szCs w:val="24"/>
              </w:rPr>
            </w:pPr>
            <w:r w:rsidRPr="000C3750">
              <w:rPr>
                <w:szCs w:val="24"/>
              </w:rPr>
              <w:t>10</w:t>
            </w:r>
          </w:p>
        </w:tc>
        <w:tc>
          <w:tcPr>
            <w:tcW w:w="2690" w:type="dxa"/>
            <w:shd w:val="clear" w:color="auto" w:fill="auto"/>
          </w:tcPr>
          <w:p w:rsidR="00901E5B" w:rsidRPr="000C3750" w:rsidRDefault="004962E0" w:rsidP="00FD5A06">
            <w:pPr>
              <w:spacing w:after="0" w:line="240" w:lineRule="auto"/>
              <w:jc w:val="center"/>
              <w:rPr>
                <w:szCs w:val="24"/>
              </w:rPr>
            </w:pPr>
            <w:r w:rsidRPr="000C3750">
              <w:rPr>
                <w:szCs w:val="24"/>
              </w:rPr>
              <w:t>93.9b</w:t>
            </w:r>
          </w:p>
        </w:tc>
        <w:tc>
          <w:tcPr>
            <w:tcW w:w="843" w:type="dxa"/>
            <w:shd w:val="clear" w:color="auto" w:fill="auto"/>
          </w:tcPr>
          <w:p w:rsidR="00901E5B" w:rsidRPr="000C3750" w:rsidRDefault="00BA3C7E" w:rsidP="00FD5A06">
            <w:pPr>
              <w:spacing w:after="0" w:line="240" w:lineRule="auto"/>
              <w:jc w:val="center"/>
              <w:rPr>
                <w:szCs w:val="24"/>
              </w:rPr>
            </w:pPr>
            <w:r w:rsidRPr="000C3750">
              <w:rPr>
                <w:szCs w:val="24"/>
              </w:rPr>
              <w:t>4.9c</w:t>
            </w:r>
          </w:p>
        </w:tc>
        <w:tc>
          <w:tcPr>
            <w:tcW w:w="1101" w:type="dxa"/>
            <w:shd w:val="clear" w:color="auto" w:fill="auto"/>
          </w:tcPr>
          <w:p w:rsidR="00901E5B" w:rsidRPr="000C3750" w:rsidRDefault="00BA3C7E" w:rsidP="00FD5A06">
            <w:pPr>
              <w:spacing w:after="0" w:line="240" w:lineRule="auto"/>
              <w:jc w:val="center"/>
              <w:rPr>
                <w:szCs w:val="24"/>
              </w:rPr>
            </w:pPr>
            <w:r w:rsidRPr="000C3750">
              <w:rPr>
                <w:szCs w:val="24"/>
              </w:rPr>
              <w:t>8.9a</w:t>
            </w:r>
          </w:p>
        </w:tc>
        <w:tc>
          <w:tcPr>
            <w:tcW w:w="1306" w:type="dxa"/>
            <w:shd w:val="clear" w:color="auto" w:fill="auto"/>
          </w:tcPr>
          <w:p w:rsidR="00901E5B" w:rsidRPr="000C3750" w:rsidRDefault="00901E5B" w:rsidP="00FD5A06">
            <w:pPr>
              <w:spacing w:after="0" w:line="240" w:lineRule="auto"/>
              <w:jc w:val="center"/>
              <w:rPr>
                <w:szCs w:val="24"/>
              </w:rPr>
            </w:pPr>
            <w:r w:rsidRPr="000C3750">
              <w:rPr>
                <w:szCs w:val="24"/>
              </w:rPr>
              <w:t>30.4c</w:t>
            </w:r>
          </w:p>
        </w:tc>
      </w:tr>
      <w:tr w:rsidR="00901E5B" w:rsidRPr="000C3750" w:rsidTr="001566C7">
        <w:trPr>
          <w:jc w:val="center"/>
        </w:trPr>
        <w:tc>
          <w:tcPr>
            <w:tcW w:w="1588" w:type="dxa"/>
            <w:shd w:val="clear" w:color="auto" w:fill="auto"/>
          </w:tcPr>
          <w:p w:rsidR="00901E5B" w:rsidRPr="000C3750" w:rsidRDefault="00901E5B" w:rsidP="00FD5A06">
            <w:pPr>
              <w:spacing w:after="0" w:line="240" w:lineRule="auto"/>
              <w:rPr>
                <w:szCs w:val="24"/>
              </w:rPr>
            </w:pPr>
            <w:r w:rsidRPr="000C3750">
              <w:rPr>
                <w:szCs w:val="24"/>
              </w:rPr>
              <w:t>20</w:t>
            </w:r>
          </w:p>
        </w:tc>
        <w:tc>
          <w:tcPr>
            <w:tcW w:w="2690" w:type="dxa"/>
            <w:shd w:val="clear" w:color="auto" w:fill="auto"/>
          </w:tcPr>
          <w:p w:rsidR="00901E5B" w:rsidRPr="000C3750" w:rsidRDefault="00BA3C7E" w:rsidP="00FD5A06">
            <w:pPr>
              <w:spacing w:after="0" w:line="240" w:lineRule="auto"/>
              <w:jc w:val="center"/>
              <w:rPr>
                <w:szCs w:val="24"/>
              </w:rPr>
            </w:pPr>
            <w:r w:rsidRPr="000C3750">
              <w:rPr>
                <w:szCs w:val="24"/>
              </w:rPr>
              <w:t>103.4a</w:t>
            </w:r>
          </w:p>
        </w:tc>
        <w:tc>
          <w:tcPr>
            <w:tcW w:w="843" w:type="dxa"/>
            <w:shd w:val="clear" w:color="auto" w:fill="auto"/>
          </w:tcPr>
          <w:p w:rsidR="00901E5B" w:rsidRPr="000C3750" w:rsidRDefault="007C2D61" w:rsidP="00FD5A06">
            <w:pPr>
              <w:spacing w:after="0" w:line="240" w:lineRule="auto"/>
              <w:jc w:val="center"/>
              <w:rPr>
                <w:szCs w:val="24"/>
              </w:rPr>
            </w:pPr>
            <w:r w:rsidRPr="000C3750">
              <w:rPr>
                <w:szCs w:val="24"/>
              </w:rPr>
              <w:t>5.6a</w:t>
            </w:r>
          </w:p>
        </w:tc>
        <w:tc>
          <w:tcPr>
            <w:tcW w:w="1101" w:type="dxa"/>
            <w:shd w:val="clear" w:color="auto" w:fill="auto"/>
          </w:tcPr>
          <w:p w:rsidR="00901E5B" w:rsidRPr="000C3750" w:rsidRDefault="007C2D61" w:rsidP="00FD5A06">
            <w:pPr>
              <w:spacing w:after="0" w:line="240" w:lineRule="auto"/>
              <w:jc w:val="center"/>
              <w:rPr>
                <w:szCs w:val="24"/>
              </w:rPr>
            </w:pPr>
            <w:r w:rsidRPr="000C3750">
              <w:rPr>
                <w:szCs w:val="24"/>
              </w:rPr>
              <w:t>9.2a</w:t>
            </w:r>
          </w:p>
        </w:tc>
        <w:tc>
          <w:tcPr>
            <w:tcW w:w="1306" w:type="dxa"/>
            <w:shd w:val="clear" w:color="auto" w:fill="auto"/>
          </w:tcPr>
          <w:p w:rsidR="00901E5B" w:rsidRPr="000C3750" w:rsidRDefault="00901E5B" w:rsidP="00FD5A06">
            <w:pPr>
              <w:spacing w:after="0" w:line="240" w:lineRule="auto"/>
              <w:jc w:val="center"/>
              <w:rPr>
                <w:szCs w:val="24"/>
              </w:rPr>
            </w:pPr>
            <w:r w:rsidRPr="000C3750">
              <w:rPr>
                <w:szCs w:val="24"/>
              </w:rPr>
              <w:t>33.4b</w:t>
            </w:r>
          </w:p>
        </w:tc>
      </w:tr>
      <w:tr w:rsidR="00901E5B" w:rsidRPr="000C3750" w:rsidTr="001566C7">
        <w:trPr>
          <w:jc w:val="center"/>
        </w:trPr>
        <w:tc>
          <w:tcPr>
            <w:tcW w:w="1588" w:type="dxa"/>
            <w:tcBorders>
              <w:bottom w:val="single" w:sz="4" w:space="0" w:color="auto"/>
            </w:tcBorders>
            <w:shd w:val="clear" w:color="auto" w:fill="auto"/>
          </w:tcPr>
          <w:p w:rsidR="00901E5B" w:rsidRPr="000C3750" w:rsidRDefault="00901E5B" w:rsidP="00FD5A06">
            <w:pPr>
              <w:spacing w:after="0" w:line="240" w:lineRule="auto"/>
              <w:rPr>
                <w:szCs w:val="24"/>
              </w:rPr>
            </w:pPr>
            <w:r w:rsidRPr="000C3750">
              <w:rPr>
                <w:szCs w:val="24"/>
              </w:rPr>
              <w:t>30</w:t>
            </w:r>
          </w:p>
        </w:tc>
        <w:tc>
          <w:tcPr>
            <w:tcW w:w="2690" w:type="dxa"/>
            <w:tcBorders>
              <w:bottom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103.5a</w:t>
            </w:r>
          </w:p>
        </w:tc>
        <w:tc>
          <w:tcPr>
            <w:tcW w:w="843" w:type="dxa"/>
            <w:tcBorders>
              <w:bottom w:val="single" w:sz="4" w:space="0" w:color="auto"/>
            </w:tcBorders>
            <w:shd w:val="clear" w:color="auto" w:fill="auto"/>
          </w:tcPr>
          <w:p w:rsidR="00901E5B" w:rsidRPr="000C3750" w:rsidRDefault="007C2D61" w:rsidP="00FD5A06">
            <w:pPr>
              <w:spacing w:after="0" w:line="240" w:lineRule="auto"/>
              <w:jc w:val="center"/>
              <w:rPr>
                <w:szCs w:val="24"/>
              </w:rPr>
            </w:pPr>
            <w:r w:rsidRPr="000C3750">
              <w:rPr>
                <w:szCs w:val="24"/>
              </w:rPr>
              <w:t>6.1a</w:t>
            </w:r>
          </w:p>
        </w:tc>
        <w:tc>
          <w:tcPr>
            <w:tcW w:w="1101" w:type="dxa"/>
            <w:tcBorders>
              <w:bottom w:val="single" w:sz="4" w:space="0" w:color="auto"/>
            </w:tcBorders>
            <w:shd w:val="clear" w:color="auto" w:fill="auto"/>
          </w:tcPr>
          <w:p w:rsidR="00901E5B" w:rsidRPr="000C3750" w:rsidRDefault="007C2D61" w:rsidP="00FD5A06">
            <w:pPr>
              <w:spacing w:after="0" w:line="240" w:lineRule="auto"/>
              <w:jc w:val="center"/>
              <w:rPr>
                <w:szCs w:val="24"/>
              </w:rPr>
            </w:pPr>
            <w:r w:rsidRPr="000C3750">
              <w:rPr>
                <w:szCs w:val="24"/>
              </w:rPr>
              <w:t>9.3a</w:t>
            </w:r>
          </w:p>
        </w:tc>
        <w:tc>
          <w:tcPr>
            <w:tcW w:w="1306" w:type="dxa"/>
            <w:tcBorders>
              <w:bottom w:val="single" w:sz="4" w:space="0" w:color="auto"/>
            </w:tcBorders>
            <w:shd w:val="clear" w:color="auto" w:fill="auto"/>
          </w:tcPr>
          <w:p w:rsidR="00901E5B" w:rsidRPr="000C3750" w:rsidRDefault="00901E5B" w:rsidP="00FD5A06">
            <w:pPr>
              <w:spacing w:after="0" w:line="240" w:lineRule="auto"/>
              <w:jc w:val="center"/>
              <w:rPr>
                <w:szCs w:val="24"/>
              </w:rPr>
            </w:pPr>
            <w:r w:rsidRPr="000C3750">
              <w:rPr>
                <w:szCs w:val="24"/>
              </w:rPr>
              <w:t>34.7a</w:t>
            </w:r>
          </w:p>
        </w:tc>
      </w:tr>
      <w:tr w:rsidR="00901E5B" w:rsidRPr="000C3750" w:rsidTr="001566C7">
        <w:trPr>
          <w:jc w:val="center"/>
        </w:trPr>
        <w:tc>
          <w:tcPr>
            <w:tcW w:w="1588" w:type="dxa"/>
            <w:tcBorders>
              <w:top w:val="single" w:sz="4" w:space="0" w:color="auto"/>
              <w:bottom w:val="single" w:sz="4" w:space="0" w:color="auto"/>
            </w:tcBorders>
            <w:shd w:val="clear" w:color="auto" w:fill="auto"/>
          </w:tcPr>
          <w:p w:rsidR="00901E5B" w:rsidRPr="000C3750" w:rsidRDefault="00901E5B" w:rsidP="00FD5A06">
            <w:pPr>
              <w:spacing w:after="0" w:line="240" w:lineRule="auto"/>
              <w:rPr>
                <w:b/>
                <w:szCs w:val="24"/>
              </w:rPr>
            </w:pPr>
            <w:r w:rsidRPr="000C3750">
              <w:rPr>
                <w:b/>
                <w:szCs w:val="24"/>
              </w:rPr>
              <w:t>LSD (0.05)</w:t>
            </w:r>
          </w:p>
        </w:tc>
        <w:tc>
          <w:tcPr>
            <w:tcW w:w="2690" w:type="dxa"/>
            <w:tcBorders>
              <w:top w:val="single" w:sz="4" w:space="0" w:color="auto"/>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1.38</w:t>
            </w:r>
          </w:p>
        </w:tc>
        <w:tc>
          <w:tcPr>
            <w:tcW w:w="843" w:type="dxa"/>
            <w:tcBorders>
              <w:top w:val="single" w:sz="4" w:space="0" w:color="auto"/>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0.19</w:t>
            </w:r>
          </w:p>
        </w:tc>
        <w:tc>
          <w:tcPr>
            <w:tcW w:w="1101" w:type="dxa"/>
            <w:tcBorders>
              <w:top w:val="single" w:sz="4" w:space="0" w:color="auto"/>
              <w:bottom w:val="single" w:sz="4" w:space="0" w:color="auto"/>
            </w:tcBorders>
            <w:shd w:val="clear" w:color="auto" w:fill="auto"/>
          </w:tcPr>
          <w:p w:rsidR="00901E5B" w:rsidRPr="000C3750" w:rsidRDefault="00BA3C7E" w:rsidP="00FD5A06">
            <w:pPr>
              <w:spacing w:after="0" w:line="240" w:lineRule="auto"/>
              <w:jc w:val="center"/>
              <w:rPr>
                <w:b/>
                <w:szCs w:val="24"/>
              </w:rPr>
            </w:pPr>
            <w:r w:rsidRPr="000C3750">
              <w:rPr>
                <w:b/>
                <w:szCs w:val="24"/>
              </w:rPr>
              <w:t>0.31</w:t>
            </w:r>
          </w:p>
        </w:tc>
        <w:tc>
          <w:tcPr>
            <w:tcW w:w="1306" w:type="dxa"/>
            <w:tcBorders>
              <w:top w:val="single" w:sz="4" w:space="0" w:color="auto"/>
              <w:bottom w:val="single" w:sz="4" w:space="0" w:color="auto"/>
            </w:tcBorders>
            <w:shd w:val="clear" w:color="auto" w:fill="auto"/>
          </w:tcPr>
          <w:p w:rsidR="00901E5B" w:rsidRPr="000C3750" w:rsidRDefault="00901E5B" w:rsidP="00FD5A06">
            <w:pPr>
              <w:spacing w:after="0" w:line="240" w:lineRule="auto"/>
              <w:jc w:val="center"/>
              <w:rPr>
                <w:b/>
                <w:szCs w:val="24"/>
              </w:rPr>
            </w:pPr>
            <w:r w:rsidRPr="000C3750">
              <w:rPr>
                <w:b/>
                <w:szCs w:val="24"/>
              </w:rPr>
              <w:t>2.28</w:t>
            </w:r>
          </w:p>
        </w:tc>
      </w:tr>
      <w:tr w:rsidR="00901E5B" w:rsidRPr="000C3750" w:rsidTr="001566C7">
        <w:trPr>
          <w:jc w:val="center"/>
        </w:trPr>
        <w:tc>
          <w:tcPr>
            <w:tcW w:w="7528" w:type="dxa"/>
            <w:gridSpan w:val="5"/>
            <w:tcBorders>
              <w:top w:val="single" w:sz="4" w:space="0" w:color="auto"/>
              <w:bottom w:val="single" w:sz="4" w:space="0" w:color="auto"/>
            </w:tcBorders>
            <w:shd w:val="clear" w:color="auto" w:fill="auto"/>
          </w:tcPr>
          <w:p w:rsidR="0049251A" w:rsidRPr="000C3750" w:rsidRDefault="00BA3C7E">
            <w:pPr>
              <w:tabs>
                <w:tab w:val="left" w:pos="5610"/>
              </w:tabs>
              <w:spacing w:after="0" w:line="240" w:lineRule="auto"/>
              <w:rPr>
                <w:b/>
                <w:szCs w:val="24"/>
              </w:rPr>
            </w:pPr>
            <w:r w:rsidRPr="000C3750">
              <w:rPr>
                <w:b/>
                <w:szCs w:val="24"/>
              </w:rPr>
              <w:t>Lime rates (t ha</w:t>
            </w:r>
            <w:r w:rsidRPr="000C3750">
              <w:rPr>
                <w:b/>
                <w:szCs w:val="24"/>
                <w:vertAlign w:val="superscript"/>
              </w:rPr>
              <w:t>-1</w:t>
            </w:r>
            <w:r w:rsidRPr="000C3750">
              <w:rPr>
                <w:b/>
                <w:szCs w:val="24"/>
              </w:rPr>
              <w:t>)</w:t>
            </w:r>
            <w:r w:rsidR="00A30544" w:rsidRPr="000C3750">
              <w:rPr>
                <w:b/>
                <w:szCs w:val="24"/>
              </w:rPr>
              <w:tab/>
            </w:r>
          </w:p>
        </w:tc>
      </w:tr>
      <w:tr w:rsidR="00901E5B" w:rsidRPr="000C3750" w:rsidTr="001566C7">
        <w:trPr>
          <w:trHeight w:val="215"/>
          <w:jc w:val="center"/>
        </w:trPr>
        <w:tc>
          <w:tcPr>
            <w:tcW w:w="1588" w:type="dxa"/>
            <w:tcBorders>
              <w:top w:val="single" w:sz="4" w:space="0" w:color="auto"/>
            </w:tcBorders>
            <w:shd w:val="clear" w:color="auto" w:fill="auto"/>
          </w:tcPr>
          <w:p w:rsidR="00901E5B" w:rsidRPr="000C3750" w:rsidRDefault="00901E5B" w:rsidP="00FD5A06">
            <w:pPr>
              <w:spacing w:after="0" w:line="240" w:lineRule="auto"/>
              <w:rPr>
                <w:szCs w:val="24"/>
              </w:rPr>
            </w:pPr>
            <w:r w:rsidRPr="000C3750">
              <w:rPr>
                <w:szCs w:val="24"/>
              </w:rPr>
              <w:t>0</w:t>
            </w:r>
          </w:p>
        </w:tc>
        <w:tc>
          <w:tcPr>
            <w:tcW w:w="2690" w:type="dxa"/>
            <w:tcBorders>
              <w:top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95.3c</w:t>
            </w:r>
          </w:p>
        </w:tc>
        <w:tc>
          <w:tcPr>
            <w:tcW w:w="843" w:type="dxa"/>
            <w:tcBorders>
              <w:top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4.9c</w:t>
            </w:r>
          </w:p>
        </w:tc>
        <w:tc>
          <w:tcPr>
            <w:tcW w:w="1101" w:type="dxa"/>
            <w:tcBorders>
              <w:top w:val="single" w:sz="4" w:space="0" w:color="auto"/>
            </w:tcBorders>
            <w:shd w:val="clear" w:color="auto" w:fill="auto"/>
          </w:tcPr>
          <w:p w:rsidR="00901E5B" w:rsidRPr="000C3750" w:rsidRDefault="007C2D61" w:rsidP="00FD5A06">
            <w:pPr>
              <w:spacing w:after="0" w:line="240" w:lineRule="auto"/>
              <w:jc w:val="center"/>
              <w:rPr>
                <w:szCs w:val="24"/>
              </w:rPr>
            </w:pPr>
            <w:r w:rsidRPr="000C3750">
              <w:rPr>
                <w:szCs w:val="24"/>
              </w:rPr>
              <w:t>8.8b</w:t>
            </w:r>
          </w:p>
        </w:tc>
        <w:tc>
          <w:tcPr>
            <w:tcW w:w="1306" w:type="dxa"/>
            <w:tcBorders>
              <w:top w:val="single" w:sz="4" w:space="0" w:color="auto"/>
            </w:tcBorders>
            <w:shd w:val="clear" w:color="auto" w:fill="auto"/>
          </w:tcPr>
          <w:p w:rsidR="00901E5B" w:rsidRPr="000C3750" w:rsidRDefault="00901E5B" w:rsidP="00FD5A06">
            <w:pPr>
              <w:spacing w:after="0" w:line="240" w:lineRule="auto"/>
              <w:jc w:val="center"/>
              <w:rPr>
                <w:szCs w:val="24"/>
              </w:rPr>
            </w:pPr>
            <w:r w:rsidRPr="000C3750">
              <w:rPr>
                <w:szCs w:val="24"/>
              </w:rPr>
              <w:t>29.7b</w:t>
            </w:r>
          </w:p>
        </w:tc>
      </w:tr>
      <w:tr w:rsidR="00901E5B" w:rsidRPr="000C3750" w:rsidTr="001566C7">
        <w:trPr>
          <w:jc w:val="center"/>
        </w:trPr>
        <w:tc>
          <w:tcPr>
            <w:tcW w:w="1588" w:type="dxa"/>
            <w:shd w:val="clear" w:color="auto" w:fill="auto"/>
          </w:tcPr>
          <w:p w:rsidR="00901E5B" w:rsidRPr="000C3750" w:rsidRDefault="00901E5B" w:rsidP="00FD5A06">
            <w:pPr>
              <w:spacing w:after="0" w:line="240" w:lineRule="auto"/>
              <w:rPr>
                <w:szCs w:val="24"/>
              </w:rPr>
            </w:pPr>
            <w:r w:rsidRPr="000C3750">
              <w:rPr>
                <w:szCs w:val="24"/>
              </w:rPr>
              <w:t>1.5</w:t>
            </w:r>
          </w:p>
        </w:tc>
        <w:tc>
          <w:tcPr>
            <w:tcW w:w="2690" w:type="dxa"/>
            <w:shd w:val="clear" w:color="auto" w:fill="auto"/>
          </w:tcPr>
          <w:p w:rsidR="00901E5B" w:rsidRPr="000C3750" w:rsidRDefault="007C2D61" w:rsidP="00FD5A06">
            <w:pPr>
              <w:spacing w:after="0" w:line="240" w:lineRule="auto"/>
              <w:jc w:val="center"/>
              <w:rPr>
                <w:szCs w:val="24"/>
              </w:rPr>
            </w:pPr>
            <w:r w:rsidRPr="000C3750">
              <w:rPr>
                <w:szCs w:val="24"/>
              </w:rPr>
              <w:t>97.3b</w:t>
            </w:r>
          </w:p>
        </w:tc>
        <w:tc>
          <w:tcPr>
            <w:tcW w:w="843" w:type="dxa"/>
            <w:shd w:val="clear" w:color="auto" w:fill="auto"/>
          </w:tcPr>
          <w:p w:rsidR="00901E5B" w:rsidRPr="000C3750" w:rsidRDefault="00BA3C7E" w:rsidP="00FD5A06">
            <w:pPr>
              <w:spacing w:after="0" w:line="240" w:lineRule="auto"/>
              <w:jc w:val="center"/>
              <w:rPr>
                <w:szCs w:val="24"/>
              </w:rPr>
            </w:pPr>
            <w:r w:rsidRPr="000C3750">
              <w:rPr>
                <w:szCs w:val="24"/>
              </w:rPr>
              <w:t>5.3b</w:t>
            </w:r>
          </w:p>
        </w:tc>
        <w:tc>
          <w:tcPr>
            <w:tcW w:w="1101" w:type="dxa"/>
            <w:shd w:val="clear" w:color="auto" w:fill="auto"/>
          </w:tcPr>
          <w:p w:rsidR="00901E5B" w:rsidRPr="000C3750" w:rsidRDefault="007C2D61" w:rsidP="00FD5A06">
            <w:pPr>
              <w:spacing w:after="0" w:line="240" w:lineRule="auto"/>
              <w:jc w:val="center"/>
              <w:rPr>
                <w:szCs w:val="24"/>
              </w:rPr>
            </w:pPr>
            <w:r w:rsidRPr="000C3750">
              <w:rPr>
                <w:szCs w:val="24"/>
              </w:rPr>
              <w:t>8.9b</w:t>
            </w:r>
          </w:p>
        </w:tc>
        <w:tc>
          <w:tcPr>
            <w:tcW w:w="1306" w:type="dxa"/>
            <w:shd w:val="clear" w:color="auto" w:fill="auto"/>
          </w:tcPr>
          <w:p w:rsidR="00901E5B" w:rsidRPr="000C3750" w:rsidRDefault="00901E5B" w:rsidP="00FD5A06">
            <w:pPr>
              <w:spacing w:after="0" w:line="240" w:lineRule="auto"/>
              <w:jc w:val="center"/>
              <w:rPr>
                <w:szCs w:val="24"/>
              </w:rPr>
            </w:pPr>
            <w:r w:rsidRPr="000C3750">
              <w:rPr>
                <w:szCs w:val="24"/>
              </w:rPr>
              <w:t>31.9a</w:t>
            </w:r>
          </w:p>
        </w:tc>
      </w:tr>
      <w:tr w:rsidR="00901E5B" w:rsidRPr="000C3750" w:rsidTr="001566C7">
        <w:trPr>
          <w:jc w:val="center"/>
        </w:trPr>
        <w:tc>
          <w:tcPr>
            <w:tcW w:w="1588" w:type="dxa"/>
            <w:tcBorders>
              <w:bottom w:val="single" w:sz="4" w:space="0" w:color="auto"/>
            </w:tcBorders>
            <w:shd w:val="clear" w:color="auto" w:fill="auto"/>
          </w:tcPr>
          <w:p w:rsidR="00901E5B" w:rsidRPr="000C3750" w:rsidRDefault="006E5F42" w:rsidP="006E5F42">
            <w:pPr>
              <w:spacing w:after="0" w:line="240" w:lineRule="auto"/>
              <w:rPr>
                <w:szCs w:val="24"/>
              </w:rPr>
            </w:pPr>
            <w:r w:rsidRPr="000C3750">
              <w:rPr>
                <w:szCs w:val="24"/>
              </w:rPr>
              <w:t>3.0</w:t>
            </w:r>
          </w:p>
        </w:tc>
        <w:tc>
          <w:tcPr>
            <w:tcW w:w="2690" w:type="dxa"/>
            <w:tcBorders>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99.5a</w:t>
            </w:r>
          </w:p>
        </w:tc>
        <w:tc>
          <w:tcPr>
            <w:tcW w:w="843" w:type="dxa"/>
            <w:tcBorders>
              <w:bottom w:val="single" w:sz="4" w:space="0" w:color="auto"/>
            </w:tcBorders>
            <w:shd w:val="clear" w:color="auto" w:fill="auto"/>
          </w:tcPr>
          <w:p w:rsidR="00901E5B" w:rsidRPr="000C3750" w:rsidRDefault="007C2D61" w:rsidP="00FD5A06">
            <w:pPr>
              <w:spacing w:after="0" w:line="240" w:lineRule="auto"/>
              <w:jc w:val="center"/>
              <w:rPr>
                <w:szCs w:val="24"/>
              </w:rPr>
            </w:pPr>
            <w:r w:rsidRPr="000C3750">
              <w:rPr>
                <w:szCs w:val="24"/>
              </w:rPr>
              <w:t>5.6a</w:t>
            </w:r>
          </w:p>
        </w:tc>
        <w:tc>
          <w:tcPr>
            <w:tcW w:w="1101" w:type="dxa"/>
            <w:tcBorders>
              <w:bottom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9.2a</w:t>
            </w:r>
          </w:p>
        </w:tc>
        <w:tc>
          <w:tcPr>
            <w:tcW w:w="1306" w:type="dxa"/>
            <w:tcBorders>
              <w:bottom w:val="single" w:sz="4" w:space="0" w:color="auto"/>
            </w:tcBorders>
            <w:shd w:val="clear" w:color="auto" w:fill="auto"/>
          </w:tcPr>
          <w:p w:rsidR="00901E5B" w:rsidRPr="000C3750" w:rsidRDefault="00901E5B" w:rsidP="00FD5A06">
            <w:pPr>
              <w:spacing w:after="0" w:line="240" w:lineRule="auto"/>
              <w:jc w:val="center"/>
              <w:rPr>
                <w:szCs w:val="24"/>
              </w:rPr>
            </w:pPr>
            <w:r w:rsidRPr="000C3750">
              <w:rPr>
                <w:szCs w:val="24"/>
              </w:rPr>
              <w:t>32.8a</w:t>
            </w:r>
          </w:p>
        </w:tc>
      </w:tr>
      <w:tr w:rsidR="00901E5B" w:rsidRPr="000C3750" w:rsidTr="001566C7">
        <w:trPr>
          <w:jc w:val="center"/>
        </w:trPr>
        <w:tc>
          <w:tcPr>
            <w:tcW w:w="1588" w:type="dxa"/>
            <w:tcBorders>
              <w:top w:val="single" w:sz="4" w:space="0" w:color="auto"/>
              <w:bottom w:val="single" w:sz="4" w:space="0" w:color="auto"/>
            </w:tcBorders>
            <w:shd w:val="clear" w:color="auto" w:fill="auto"/>
          </w:tcPr>
          <w:p w:rsidR="00901E5B" w:rsidRPr="000C3750" w:rsidRDefault="00901E5B" w:rsidP="00FD5A06">
            <w:pPr>
              <w:spacing w:after="0" w:line="240" w:lineRule="auto"/>
              <w:rPr>
                <w:b/>
                <w:szCs w:val="24"/>
              </w:rPr>
            </w:pPr>
            <w:r w:rsidRPr="000C3750">
              <w:rPr>
                <w:b/>
                <w:szCs w:val="24"/>
              </w:rPr>
              <w:t>LSD (0.05)</w:t>
            </w:r>
          </w:p>
        </w:tc>
        <w:tc>
          <w:tcPr>
            <w:tcW w:w="2690" w:type="dxa"/>
            <w:tcBorders>
              <w:top w:val="single" w:sz="4" w:space="0" w:color="auto"/>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1.19</w:t>
            </w:r>
          </w:p>
        </w:tc>
        <w:tc>
          <w:tcPr>
            <w:tcW w:w="843" w:type="dxa"/>
            <w:tcBorders>
              <w:top w:val="single" w:sz="4" w:space="0" w:color="auto"/>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0.16</w:t>
            </w:r>
          </w:p>
        </w:tc>
        <w:tc>
          <w:tcPr>
            <w:tcW w:w="1101" w:type="dxa"/>
            <w:tcBorders>
              <w:top w:val="single" w:sz="4" w:space="0" w:color="auto"/>
              <w:bottom w:val="single" w:sz="4" w:space="0" w:color="auto"/>
            </w:tcBorders>
            <w:shd w:val="clear" w:color="auto" w:fill="auto"/>
          </w:tcPr>
          <w:p w:rsidR="00901E5B" w:rsidRPr="000C3750" w:rsidRDefault="007C2D61" w:rsidP="00FD5A06">
            <w:pPr>
              <w:spacing w:after="0" w:line="240" w:lineRule="auto"/>
              <w:jc w:val="center"/>
              <w:rPr>
                <w:b/>
                <w:szCs w:val="24"/>
              </w:rPr>
            </w:pPr>
            <w:r w:rsidRPr="000C3750">
              <w:rPr>
                <w:b/>
                <w:szCs w:val="24"/>
              </w:rPr>
              <w:t>0.26</w:t>
            </w:r>
          </w:p>
        </w:tc>
        <w:tc>
          <w:tcPr>
            <w:tcW w:w="1306" w:type="dxa"/>
            <w:tcBorders>
              <w:top w:val="single" w:sz="4" w:space="0" w:color="auto"/>
              <w:bottom w:val="single" w:sz="4" w:space="0" w:color="auto"/>
            </w:tcBorders>
            <w:shd w:val="clear" w:color="auto" w:fill="auto"/>
          </w:tcPr>
          <w:p w:rsidR="00901E5B" w:rsidRPr="000C3750" w:rsidRDefault="00901E5B" w:rsidP="00FD5A06">
            <w:pPr>
              <w:spacing w:after="0" w:line="240" w:lineRule="auto"/>
              <w:jc w:val="center"/>
              <w:rPr>
                <w:b/>
                <w:szCs w:val="24"/>
              </w:rPr>
            </w:pPr>
            <w:r w:rsidRPr="000C3750">
              <w:rPr>
                <w:b/>
                <w:szCs w:val="24"/>
              </w:rPr>
              <w:t>1.97</w:t>
            </w:r>
          </w:p>
        </w:tc>
      </w:tr>
      <w:tr w:rsidR="00901E5B" w:rsidRPr="000C3750" w:rsidTr="001566C7">
        <w:trPr>
          <w:jc w:val="center"/>
        </w:trPr>
        <w:tc>
          <w:tcPr>
            <w:tcW w:w="7528" w:type="dxa"/>
            <w:gridSpan w:val="5"/>
            <w:tcBorders>
              <w:top w:val="single" w:sz="4" w:space="0" w:color="auto"/>
              <w:bottom w:val="single" w:sz="4" w:space="0" w:color="auto"/>
            </w:tcBorders>
            <w:shd w:val="clear" w:color="auto" w:fill="auto"/>
          </w:tcPr>
          <w:p w:rsidR="00901E5B" w:rsidRPr="000C3750" w:rsidRDefault="007C2D61" w:rsidP="00FD5A06">
            <w:pPr>
              <w:spacing w:after="0" w:line="240" w:lineRule="auto"/>
              <w:rPr>
                <w:szCs w:val="24"/>
              </w:rPr>
            </w:pPr>
            <w:r w:rsidRPr="000C3750">
              <w:rPr>
                <w:b/>
                <w:szCs w:val="24"/>
              </w:rPr>
              <w:t xml:space="preserve">Locations </w:t>
            </w:r>
          </w:p>
        </w:tc>
      </w:tr>
      <w:tr w:rsidR="00901E5B" w:rsidRPr="000C3750" w:rsidTr="001566C7">
        <w:trPr>
          <w:jc w:val="center"/>
        </w:trPr>
        <w:tc>
          <w:tcPr>
            <w:tcW w:w="1588" w:type="dxa"/>
            <w:tcBorders>
              <w:top w:val="single" w:sz="4" w:space="0" w:color="auto"/>
            </w:tcBorders>
            <w:shd w:val="clear" w:color="auto" w:fill="auto"/>
          </w:tcPr>
          <w:p w:rsidR="00901E5B" w:rsidRPr="000C3750" w:rsidRDefault="00901E5B" w:rsidP="00FD5A06">
            <w:pPr>
              <w:spacing w:after="0" w:line="240" w:lineRule="auto"/>
              <w:rPr>
                <w:szCs w:val="24"/>
              </w:rPr>
            </w:pPr>
            <w:r w:rsidRPr="000C3750">
              <w:rPr>
                <w:szCs w:val="24"/>
              </w:rPr>
              <w:t>Bekoji</w:t>
            </w:r>
          </w:p>
        </w:tc>
        <w:tc>
          <w:tcPr>
            <w:tcW w:w="2690" w:type="dxa"/>
            <w:tcBorders>
              <w:top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95.7b</w:t>
            </w:r>
          </w:p>
        </w:tc>
        <w:tc>
          <w:tcPr>
            <w:tcW w:w="843" w:type="dxa"/>
            <w:tcBorders>
              <w:top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4.9a</w:t>
            </w:r>
          </w:p>
        </w:tc>
        <w:tc>
          <w:tcPr>
            <w:tcW w:w="1101" w:type="dxa"/>
            <w:tcBorders>
              <w:top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8.7b</w:t>
            </w:r>
          </w:p>
        </w:tc>
        <w:tc>
          <w:tcPr>
            <w:tcW w:w="1306" w:type="dxa"/>
            <w:tcBorders>
              <w:top w:val="single" w:sz="4" w:space="0" w:color="auto"/>
            </w:tcBorders>
            <w:shd w:val="clear" w:color="auto" w:fill="auto"/>
          </w:tcPr>
          <w:p w:rsidR="00901E5B" w:rsidRPr="000C3750" w:rsidRDefault="00901E5B" w:rsidP="00FD5A06">
            <w:pPr>
              <w:spacing w:after="0" w:line="240" w:lineRule="auto"/>
              <w:jc w:val="center"/>
              <w:rPr>
                <w:szCs w:val="24"/>
              </w:rPr>
            </w:pPr>
            <w:r w:rsidRPr="000C3750">
              <w:rPr>
                <w:szCs w:val="24"/>
              </w:rPr>
              <w:t>31.0</w:t>
            </w:r>
          </w:p>
        </w:tc>
      </w:tr>
      <w:tr w:rsidR="00901E5B" w:rsidRPr="000C3750" w:rsidTr="001566C7">
        <w:trPr>
          <w:jc w:val="center"/>
        </w:trPr>
        <w:tc>
          <w:tcPr>
            <w:tcW w:w="1588" w:type="dxa"/>
            <w:tcBorders>
              <w:bottom w:val="single" w:sz="4" w:space="0" w:color="auto"/>
            </w:tcBorders>
            <w:shd w:val="clear" w:color="auto" w:fill="auto"/>
          </w:tcPr>
          <w:p w:rsidR="00901E5B" w:rsidRPr="000C3750" w:rsidRDefault="00901E5B" w:rsidP="00FD5A06">
            <w:pPr>
              <w:spacing w:after="0" w:line="240" w:lineRule="auto"/>
              <w:rPr>
                <w:szCs w:val="24"/>
              </w:rPr>
            </w:pPr>
            <w:r w:rsidRPr="000C3750">
              <w:rPr>
                <w:szCs w:val="24"/>
              </w:rPr>
              <w:t>Kofele</w:t>
            </w:r>
          </w:p>
        </w:tc>
        <w:tc>
          <w:tcPr>
            <w:tcW w:w="2690" w:type="dxa"/>
            <w:tcBorders>
              <w:bottom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99.0a</w:t>
            </w:r>
          </w:p>
        </w:tc>
        <w:tc>
          <w:tcPr>
            <w:tcW w:w="843" w:type="dxa"/>
            <w:tcBorders>
              <w:bottom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5.7b</w:t>
            </w:r>
          </w:p>
        </w:tc>
        <w:tc>
          <w:tcPr>
            <w:tcW w:w="1101" w:type="dxa"/>
            <w:tcBorders>
              <w:bottom w:val="single" w:sz="4" w:space="0" w:color="auto"/>
            </w:tcBorders>
            <w:shd w:val="clear" w:color="auto" w:fill="auto"/>
          </w:tcPr>
          <w:p w:rsidR="00901E5B" w:rsidRPr="000C3750" w:rsidRDefault="00BA3C7E" w:rsidP="00FD5A06">
            <w:pPr>
              <w:spacing w:after="0" w:line="240" w:lineRule="auto"/>
              <w:jc w:val="center"/>
              <w:rPr>
                <w:szCs w:val="24"/>
              </w:rPr>
            </w:pPr>
            <w:r w:rsidRPr="000C3750">
              <w:rPr>
                <w:szCs w:val="24"/>
              </w:rPr>
              <w:t>9.2a</w:t>
            </w:r>
          </w:p>
        </w:tc>
        <w:tc>
          <w:tcPr>
            <w:tcW w:w="1306" w:type="dxa"/>
            <w:tcBorders>
              <w:bottom w:val="single" w:sz="4" w:space="0" w:color="auto"/>
            </w:tcBorders>
            <w:shd w:val="clear" w:color="auto" w:fill="auto"/>
          </w:tcPr>
          <w:p w:rsidR="00901E5B" w:rsidRPr="000C3750" w:rsidRDefault="00901E5B" w:rsidP="00FD5A06">
            <w:pPr>
              <w:spacing w:after="0" w:line="240" w:lineRule="auto"/>
              <w:jc w:val="center"/>
              <w:rPr>
                <w:szCs w:val="24"/>
              </w:rPr>
            </w:pPr>
            <w:r w:rsidRPr="000C3750">
              <w:rPr>
                <w:szCs w:val="24"/>
              </w:rPr>
              <w:t>31.9</w:t>
            </w:r>
          </w:p>
        </w:tc>
      </w:tr>
      <w:tr w:rsidR="00901E5B" w:rsidRPr="000C3750" w:rsidTr="001566C7">
        <w:trPr>
          <w:jc w:val="center"/>
        </w:trPr>
        <w:tc>
          <w:tcPr>
            <w:tcW w:w="1588" w:type="dxa"/>
            <w:tcBorders>
              <w:top w:val="single" w:sz="4" w:space="0" w:color="auto"/>
              <w:bottom w:val="single" w:sz="4" w:space="0" w:color="auto"/>
            </w:tcBorders>
            <w:shd w:val="clear" w:color="auto" w:fill="auto"/>
          </w:tcPr>
          <w:p w:rsidR="00901E5B" w:rsidRPr="000C3750" w:rsidRDefault="00901E5B" w:rsidP="00FD5A06">
            <w:pPr>
              <w:spacing w:after="0" w:line="240" w:lineRule="auto"/>
              <w:rPr>
                <w:b/>
                <w:szCs w:val="24"/>
              </w:rPr>
            </w:pPr>
            <w:r w:rsidRPr="000C3750">
              <w:rPr>
                <w:b/>
                <w:szCs w:val="24"/>
              </w:rPr>
              <w:t>LSD (0.05)</w:t>
            </w:r>
          </w:p>
        </w:tc>
        <w:tc>
          <w:tcPr>
            <w:tcW w:w="2690" w:type="dxa"/>
            <w:tcBorders>
              <w:top w:val="single" w:sz="4" w:space="0" w:color="auto"/>
              <w:bottom w:val="single" w:sz="4" w:space="0" w:color="auto"/>
            </w:tcBorders>
            <w:shd w:val="clear" w:color="auto" w:fill="auto"/>
          </w:tcPr>
          <w:p w:rsidR="00901E5B" w:rsidRPr="000C3750" w:rsidRDefault="00BA3C7E" w:rsidP="00FD5A06">
            <w:pPr>
              <w:spacing w:after="0" w:line="240" w:lineRule="auto"/>
              <w:jc w:val="center"/>
              <w:rPr>
                <w:b/>
                <w:szCs w:val="24"/>
              </w:rPr>
            </w:pPr>
            <w:r w:rsidRPr="000C3750">
              <w:rPr>
                <w:b/>
                <w:szCs w:val="24"/>
              </w:rPr>
              <w:t>0.97</w:t>
            </w:r>
          </w:p>
        </w:tc>
        <w:tc>
          <w:tcPr>
            <w:tcW w:w="843" w:type="dxa"/>
            <w:tcBorders>
              <w:top w:val="single" w:sz="4" w:space="0" w:color="auto"/>
              <w:bottom w:val="single" w:sz="4" w:space="0" w:color="auto"/>
            </w:tcBorders>
            <w:shd w:val="clear" w:color="auto" w:fill="auto"/>
          </w:tcPr>
          <w:p w:rsidR="00901E5B" w:rsidRPr="000C3750" w:rsidRDefault="00BA3C7E" w:rsidP="00FD5A06">
            <w:pPr>
              <w:spacing w:after="0" w:line="240" w:lineRule="auto"/>
              <w:jc w:val="center"/>
              <w:rPr>
                <w:b/>
                <w:szCs w:val="24"/>
              </w:rPr>
            </w:pPr>
            <w:r w:rsidRPr="000C3750">
              <w:rPr>
                <w:b/>
                <w:szCs w:val="24"/>
              </w:rPr>
              <w:t>0.13</w:t>
            </w:r>
          </w:p>
        </w:tc>
        <w:tc>
          <w:tcPr>
            <w:tcW w:w="1101" w:type="dxa"/>
            <w:tcBorders>
              <w:top w:val="single" w:sz="4" w:space="0" w:color="auto"/>
              <w:bottom w:val="single" w:sz="4" w:space="0" w:color="auto"/>
            </w:tcBorders>
            <w:shd w:val="clear" w:color="auto" w:fill="auto"/>
          </w:tcPr>
          <w:p w:rsidR="00901E5B" w:rsidRPr="000C3750" w:rsidRDefault="00BA3C7E" w:rsidP="00FD5A06">
            <w:pPr>
              <w:spacing w:after="0" w:line="240" w:lineRule="auto"/>
              <w:jc w:val="center"/>
              <w:rPr>
                <w:b/>
                <w:szCs w:val="24"/>
              </w:rPr>
            </w:pPr>
            <w:r w:rsidRPr="000C3750">
              <w:rPr>
                <w:b/>
                <w:szCs w:val="24"/>
              </w:rPr>
              <w:t>0.21</w:t>
            </w:r>
          </w:p>
        </w:tc>
        <w:tc>
          <w:tcPr>
            <w:tcW w:w="1306" w:type="dxa"/>
            <w:tcBorders>
              <w:top w:val="single" w:sz="4" w:space="0" w:color="auto"/>
              <w:bottom w:val="single" w:sz="4" w:space="0" w:color="auto"/>
            </w:tcBorders>
            <w:shd w:val="clear" w:color="auto" w:fill="auto"/>
          </w:tcPr>
          <w:p w:rsidR="00901E5B" w:rsidRPr="000C3750" w:rsidRDefault="00901E5B" w:rsidP="00FD5A06">
            <w:pPr>
              <w:spacing w:after="0" w:line="240" w:lineRule="auto"/>
              <w:jc w:val="center"/>
              <w:rPr>
                <w:b/>
                <w:szCs w:val="24"/>
              </w:rPr>
            </w:pPr>
            <w:r w:rsidRPr="000C3750">
              <w:rPr>
                <w:b/>
                <w:szCs w:val="24"/>
              </w:rPr>
              <w:t>Ns</w:t>
            </w:r>
          </w:p>
        </w:tc>
      </w:tr>
      <w:tr w:rsidR="00901E5B" w:rsidRPr="000C3750" w:rsidTr="001566C7">
        <w:trPr>
          <w:jc w:val="center"/>
        </w:trPr>
        <w:tc>
          <w:tcPr>
            <w:tcW w:w="1588" w:type="dxa"/>
            <w:shd w:val="clear" w:color="auto" w:fill="auto"/>
          </w:tcPr>
          <w:p w:rsidR="00901E5B" w:rsidRPr="000C3750" w:rsidRDefault="00901E5B" w:rsidP="00FD5A06">
            <w:pPr>
              <w:spacing w:after="0" w:line="240" w:lineRule="auto"/>
              <w:rPr>
                <w:b/>
                <w:szCs w:val="24"/>
              </w:rPr>
            </w:pPr>
            <w:r w:rsidRPr="000C3750">
              <w:rPr>
                <w:b/>
                <w:szCs w:val="24"/>
              </w:rPr>
              <w:t>CV (%)</w:t>
            </w:r>
          </w:p>
        </w:tc>
        <w:tc>
          <w:tcPr>
            <w:tcW w:w="2690" w:type="dxa"/>
            <w:shd w:val="clear" w:color="auto" w:fill="auto"/>
          </w:tcPr>
          <w:p w:rsidR="00901E5B" w:rsidRPr="000C3750" w:rsidRDefault="00901E5B" w:rsidP="00FD5A06">
            <w:pPr>
              <w:spacing w:after="0" w:line="240" w:lineRule="auto"/>
              <w:jc w:val="center"/>
              <w:rPr>
                <w:b/>
                <w:szCs w:val="24"/>
              </w:rPr>
            </w:pPr>
            <w:r w:rsidRPr="000C3750">
              <w:rPr>
                <w:b/>
                <w:szCs w:val="24"/>
              </w:rPr>
              <w:t>7.8</w:t>
            </w:r>
          </w:p>
        </w:tc>
        <w:tc>
          <w:tcPr>
            <w:tcW w:w="843" w:type="dxa"/>
            <w:shd w:val="clear" w:color="auto" w:fill="auto"/>
          </w:tcPr>
          <w:p w:rsidR="00901E5B" w:rsidRPr="000C3750" w:rsidRDefault="00901E5B" w:rsidP="00FD5A06">
            <w:pPr>
              <w:spacing w:after="0" w:line="240" w:lineRule="auto"/>
              <w:jc w:val="center"/>
              <w:rPr>
                <w:b/>
                <w:szCs w:val="24"/>
              </w:rPr>
            </w:pPr>
            <w:r w:rsidRPr="000C3750">
              <w:rPr>
                <w:b/>
                <w:szCs w:val="24"/>
              </w:rPr>
              <w:t>8.9</w:t>
            </w:r>
          </w:p>
        </w:tc>
        <w:tc>
          <w:tcPr>
            <w:tcW w:w="1101" w:type="dxa"/>
            <w:shd w:val="clear" w:color="auto" w:fill="auto"/>
          </w:tcPr>
          <w:p w:rsidR="00901E5B" w:rsidRPr="000C3750" w:rsidRDefault="00901E5B" w:rsidP="00FD5A06">
            <w:pPr>
              <w:spacing w:after="0" w:line="240" w:lineRule="auto"/>
              <w:jc w:val="center"/>
              <w:rPr>
                <w:b/>
                <w:szCs w:val="24"/>
              </w:rPr>
            </w:pPr>
            <w:r w:rsidRPr="000C3750">
              <w:rPr>
                <w:b/>
                <w:szCs w:val="24"/>
              </w:rPr>
              <w:t>5.6</w:t>
            </w:r>
          </w:p>
        </w:tc>
        <w:tc>
          <w:tcPr>
            <w:tcW w:w="1306" w:type="dxa"/>
            <w:shd w:val="clear" w:color="auto" w:fill="auto"/>
          </w:tcPr>
          <w:p w:rsidR="00901E5B" w:rsidRPr="000C3750" w:rsidRDefault="00901E5B" w:rsidP="00FD5A06">
            <w:pPr>
              <w:spacing w:after="0" w:line="240" w:lineRule="auto"/>
              <w:jc w:val="center"/>
              <w:rPr>
                <w:b/>
                <w:szCs w:val="24"/>
              </w:rPr>
            </w:pPr>
            <w:r w:rsidRPr="000C3750">
              <w:rPr>
                <w:b/>
                <w:szCs w:val="24"/>
              </w:rPr>
              <w:t>10.6</w:t>
            </w:r>
          </w:p>
        </w:tc>
      </w:tr>
    </w:tbl>
    <w:p w:rsidR="00901E5B" w:rsidRPr="000C3750" w:rsidRDefault="0048585C" w:rsidP="00901E5B">
      <w:pPr>
        <w:spacing w:after="0" w:line="240" w:lineRule="auto"/>
        <w:jc w:val="both"/>
        <w:rPr>
          <w:i/>
        </w:rPr>
      </w:pPr>
      <w:r>
        <w:rPr>
          <w:i/>
        </w:rPr>
        <w:t xml:space="preserve">Ns = statistically </w:t>
      </w:r>
      <w:proofErr w:type="spellStart"/>
      <w:r>
        <w:rPr>
          <w:i/>
        </w:rPr>
        <w:t>nonsignificant</w:t>
      </w:r>
      <w:proofErr w:type="spellEnd"/>
      <w:r>
        <w:rPr>
          <w:i/>
        </w:rPr>
        <w:t xml:space="preserve">. The means within a column followed by the same letter (s) are not statistically different from each other. </w:t>
      </w:r>
    </w:p>
    <w:p w:rsidR="00901E5B" w:rsidRPr="000C3750" w:rsidRDefault="00901E5B" w:rsidP="0048585C">
      <w:pPr>
        <w:spacing w:before="120" w:after="0" w:line="360" w:lineRule="auto"/>
        <w:jc w:val="both"/>
        <w:rPr>
          <w:b/>
          <w:szCs w:val="24"/>
        </w:rPr>
      </w:pPr>
      <w:r>
        <w:rPr>
          <w:szCs w:val="24"/>
        </w:rPr>
        <w:t>The grain yield and the aboveground biomass yield of malt barley were significantly affected by the main effects of P, lime, and location (</w:t>
      </w:r>
      <w:r>
        <w:rPr>
          <w:b/>
          <w:szCs w:val="24"/>
        </w:rPr>
        <w:t>Table 4</w:t>
      </w:r>
      <w:r>
        <w:rPr>
          <w:szCs w:val="24"/>
        </w:rPr>
        <w:t>). The highest GY (4.38 tha</w:t>
      </w:r>
      <w:r>
        <w:rPr>
          <w:szCs w:val="24"/>
          <w:vertAlign w:val="superscript"/>
        </w:rPr>
        <w:t>-1</w:t>
      </w:r>
      <w:r>
        <w:rPr>
          <w:szCs w:val="24"/>
        </w:rPr>
        <w:t>) and AGBY (11.01 tha</w:t>
      </w:r>
      <w:r>
        <w:rPr>
          <w:szCs w:val="24"/>
          <w:vertAlign w:val="superscript"/>
        </w:rPr>
        <w:t>-1</w:t>
      </w:r>
      <w:r>
        <w:rPr>
          <w:szCs w:val="24"/>
        </w:rPr>
        <w:t>) were obtained with 30kg Pha</w:t>
      </w:r>
      <w:r>
        <w:rPr>
          <w:szCs w:val="24"/>
          <w:vertAlign w:val="superscript"/>
        </w:rPr>
        <w:t>-1</w:t>
      </w:r>
      <w:r>
        <w:rPr>
          <w:szCs w:val="24"/>
        </w:rPr>
        <w:t>followed by 20kg P ha</w:t>
      </w:r>
      <w:r>
        <w:rPr>
          <w:szCs w:val="24"/>
          <w:vertAlign w:val="superscript"/>
        </w:rPr>
        <w:t>-1</w:t>
      </w:r>
      <w:r>
        <w:rPr>
          <w:szCs w:val="24"/>
        </w:rPr>
        <w:t xml:space="preserve"> and 10kg P ha</w:t>
      </w:r>
      <w:r>
        <w:rPr>
          <w:szCs w:val="24"/>
          <w:vertAlign w:val="superscript"/>
        </w:rPr>
        <w:t>-1</w:t>
      </w:r>
      <w:r>
        <w:rPr>
          <w:szCs w:val="24"/>
        </w:rPr>
        <w:t xml:space="preserve"> in that order and the least GY (2.85 tha</w:t>
      </w:r>
      <w:r>
        <w:rPr>
          <w:szCs w:val="24"/>
          <w:vertAlign w:val="superscript"/>
        </w:rPr>
        <w:t>-1</w:t>
      </w:r>
      <w:r>
        <w:rPr>
          <w:szCs w:val="24"/>
        </w:rPr>
        <w:t>) and BMY (7.04 tha</w:t>
      </w:r>
      <w:r>
        <w:rPr>
          <w:szCs w:val="24"/>
          <w:vertAlign w:val="superscript"/>
        </w:rPr>
        <w:t>-1</w:t>
      </w:r>
      <w:r>
        <w:rPr>
          <w:szCs w:val="24"/>
        </w:rPr>
        <w:t>) was recorded in the control treatment. These results show that there are insufficient amounts of P (</w:t>
      </w:r>
      <w:proofErr w:type="spellStart"/>
      <w:r>
        <w:rPr>
          <w:szCs w:val="24"/>
        </w:rPr>
        <w:t>avP</w:t>
      </w:r>
      <w:proofErr w:type="spellEnd"/>
      <w:r>
        <w:rPr>
          <w:szCs w:val="24"/>
        </w:rPr>
        <w:t xml:space="preserve">) available for optimal malt barley production. This can be further verified by insufficient or below critical soil test values of </w:t>
      </w:r>
      <w:proofErr w:type="spellStart"/>
      <w:r>
        <w:rPr>
          <w:szCs w:val="24"/>
        </w:rPr>
        <w:t>avP</w:t>
      </w:r>
      <w:proofErr w:type="spellEnd"/>
      <w:r>
        <w:rPr>
          <w:szCs w:val="24"/>
        </w:rPr>
        <w:t xml:space="preserve"> obtained by pre-planting soil sample analyzes of results of both locations. These results are also in line with reports by several researchers that application of P fertilizer significantly increased the yields of several crops, including barley in Ethiopia as P is the second most limiting nutrient in arable land soils of the country (</w:t>
      </w:r>
      <w:proofErr w:type="spellStart"/>
      <w:r>
        <w:rPr>
          <w:szCs w:val="24"/>
        </w:rPr>
        <w:t>Adamu</w:t>
      </w:r>
      <w:proofErr w:type="spellEnd"/>
      <w:r>
        <w:rPr>
          <w:szCs w:val="24"/>
        </w:rPr>
        <w:t xml:space="preserve">, 2018; </w:t>
      </w:r>
      <w:proofErr w:type="spellStart"/>
      <w:r>
        <w:rPr>
          <w:szCs w:val="24"/>
        </w:rPr>
        <w:t>Birhan</w:t>
      </w:r>
      <w:proofErr w:type="spellEnd"/>
      <w:r>
        <w:rPr>
          <w:szCs w:val="24"/>
        </w:rPr>
        <w:t xml:space="preserve"> </w:t>
      </w:r>
      <w:r>
        <w:rPr>
          <w:i/>
          <w:szCs w:val="24"/>
        </w:rPr>
        <w:t>et al</w:t>
      </w:r>
      <w:r>
        <w:rPr>
          <w:szCs w:val="24"/>
        </w:rPr>
        <w:t xml:space="preserve">., 2016; </w:t>
      </w:r>
      <w:proofErr w:type="spellStart"/>
      <w:r>
        <w:rPr>
          <w:szCs w:val="24"/>
        </w:rPr>
        <w:t>Wakene</w:t>
      </w:r>
      <w:proofErr w:type="spellEnd"/>
      <w:r>
        <w:rPr>
          <w:szCs w:val="24"/>
        </w:rPr>
        <w:t xml:space="preserve"> </w:t>
      </w:r>
      <w:r>
        <w:rPr>
          <w:i/>
          <w:szCs w:val="24"/>
        </w:rPr>
        <w:t>et al</w:t>
      </w:r>
      <w:r>
        <w:rPr>
          <w:szCs w:val="24"/>
        </w:rPr>
        <w:t xml:space="preserve">., 2014; </w:t>
      </w:r>
      <w:proofErr w:type="spellStart"/>
      <w:r>
        <w:rPr>
          <w:szCs w:val="24"/>
        </w:rPr>
        <w:t>Getachew</w:t>
      </w:r>
      <w:proofErr w:type="spellEnd"/>
      <w:r>
        <w:rPr>
          <w:szCs w:val="24"/>
        </w:rPr>
        <w:t xml:space="preserve">, 2001; </w:t>
      </w:r>
      <w:proofErr w:type="spellStart"/>
      <w:r>
        <w:rPr>
          <w:szCs w:val="24"/>
        </w:rPr>
        <w:t>Tekalign</w:t>
      </w:r>
      <w:proofErr w:type="spellEnd"/>
      <w:r>
        <w:rPr>
          <w:szCs w:val="24"/>
        </w:rPr>
        <w:t xml:space="preserve"> and </w:t>
      </w:r>
      <w:proofErr w:type="spellStart"/>
      <w:r>
        <w:rPr>
          <w:szCs w:val="24"/>
        </w:rPr>
        <w:t>Haque</w:t>
      </w:r>
      <w:proofErr w:type="spellEnd"/>
      <w:r>
        <w:rPr>
          <w:szCs w:val="24"/>
        </w:rPr>
        <w:t xml:space="preserve">, 1991). For example, </w:t>
      </w:r>
      <w:proofErr w:type="spellStart"/>
      <w:r>
        <w:rPr>
          <w:szCs w:val="24"/>
        </w:rPr>
        <w:t>Adamu</w:t>
      </w:r>
      <w:proofErr w:type="spellEnd"/>
      <w:r>
        <w:rPr>
          <w:szCs w:val="24"/>
        </w:rPr>
        <w:t xml:space="preserve"> (2018) found that fertilizer P applied at 20, 30 and 40 kgha</w:t>
      </w:r>
      <w:r>
        <w:rPr>
          <w:szCs w:val="24"/>
          <w:vertAlign w:val="superscript"/>
        </w:rPr>
        <w:t>-1</w:t>
      </w:r>
      <w:r>
        <w:rPr>
          <w:szCs w:val="24"/>
        </w:rPr>
        <w:t xml:space="preserve"> increased GY of malt barley by  </w:t>
      </w:r>
      <w:r>
        <w:rPr>
          <w:rStyle w:val="A4"/>
          <w:color w:val="auto"/>
          <w:sz w:val="24"/>
          <w:szCs w:val="24"/>
        </w:rPr>
        <w:t>52.53, 69.31 and 70.74%, respectively, compared to untreated control treatment. According to the same authors,</w:t>
      </w:r>
      <w:r>
        <w:rPr>
          <w:szCs w:val="24"/>
        </w:rPr>
        <w:t xml:space="preserve"> the corresponding increase in AGBY was 17.7, 24.8 and 21.2% over the control. In a similar study, </w:t>
      </w:r>
      <w:proofErr w:type="spellStart"/>
      <w:r>
        <w:rPr>
          <w:szCs w:val="24"/>
        </w:rPr>
        <w:t>Wakene</w:t>
      </w:r>
      <w:proofErr w:type="spellEnd"/>
      <w:r>
        <w:rPr>
          <w:szCs w:val="24"/>
        </w:rPr>
        <w:t xml:space="preserve"> </w:t>
      </w:r>
      <w:r>
        <w:rPr>
          <w:i/>
          <w:szCs w:val="24"/>
        </w:rPr>
        <w:t>et al</w:t>
      </w:r>
      <w:r>
        <w:rPr>
          <w:szCs w:val="24"/>
        </w:rPr>
        <w:t>. (2014) reported that the application of P at 10, 20 and 30 kgha</w:t>
      </w:r>
      <w:r>
        <w:rPr>
          <w:szCs w:val="24"/>
          <w:vertAlign w:val="superscript"/>
        </w:rPr>
        <w:t>-1</w:t>
      </w:r>
      <w:r>
        <w:rPr>
          <w:szCs w:val="24"/>
        </w:rPr>
        <w:t xml:space="preserve"> has significantly </w:t>
      </w:r>
      <w:r>
        <w:rPr>
          <w:szCs w:val="24"/>
        </w:rPr>
        <w:lastRenderedPageBreak/>
        <w:t>increased AGBY of barely grown in Bore district of southern Ethiopia by 28.7, 49.6 and 60%, respectively, over untreated control treatment. There were also significant differences between lime treatments with respect to their main effects on grain yield and biomass above ground of malt barley (</w:t>
      </w:r>
      <w:r>
        <w:rPr>
          <w:b/>
          <w:szCs w:val="24"/>
        </w:rPr>
        <w:t>Table 4).</w:t>
      </w:r>
      <w:r>
        <w:rPr>
          <w:szCs w:val="24"/>
        </w:rPr>
        <w:t xml:space="preserve"> Consequently, 3tha</w:t>
      </w:r>
      <w:r w:rsidR="001E11AD" w:rsidRPr="001E11AD">
        <w:rPr>
          <w:szCs w:val="24"/>
          <w:vertAlign w:val="superscript"/>
        </w:rPr>
        <w:t>-1</w:t>
      </w:r>
      <w:r>
        <w:rPr>
          <w:szCs w:val="24"/>
        </w:rPr>
        <w:t xml:space="preserve"> produced significantly the highest GY (4.18 tha</w:t>
      </w:r>
      <w:r>
        <w:rPr>
          <w:szCs w:val="24"/>
          <w:vertAlign w:val="superscript"/>
        </w:rPr>
        <w:t>-1</w:t>
      </w:r>
      <w:r>
        <w:rPr>
          <w:szCs w:val="24"/>
        </w:rPr>
        <w:t>) and AGBY (10.63 tha</w:t>
      </w:r>
      <w:r>
        <w:rPr>
          <w:szCs w:val="24"/>
          <w:vertAlign w:val="superscript"/>
        </w:rPr>
        <w:t>-1</w:t>
      </w:r>
      <w:r>
        <w:rPr>
          <w:szCs w:val="24"/>
        </w:rPr>
        <w:t>) were produced by 3tha</w:t>
      </w:r>
      <w:r>
        <w:rPr>
          <w:szCs w:val="24"/>
          <w:vertAlign w:val="superscript"/>
        </w:rPr>
        <w:t xml:space="preserve">-1 </w:t>
      </w:r>
      <w:r>
        <w:rPr>
          <w:szCs w:val="24"/>
        </w:rPr>
        <w:t>and the lowest GY (3.21 tha</w:t>
      </w:r>
      <w:r>
        <w:rPr>
          <w:szCs w:val="24"/>
          <w:vertAlign w:val="superscript"/>
        </w:rPr>
        <w:t>-1</w:t>
      </w:r>
      <w:r>
        <w:rPr>
          <w:szCs w:val="24"/>
        </w:rPr>
        <w:t>) and AGBY (8.08 tha</w:t>
      </w:r>
      <w:r>
        <w:rPr>
          <w:szCs w:val="24"/>
          <w:vertAlign w:val="superscript"/>
        </w:rPr>
        <w:t>-1</w:t>
      </w:r>
      <w:r>
        <w:rPr>
          <w:szCs w:val="24"/>
        </w:rPr>
        <w:t>) were obtained in the untreated control plot. This is in line with the findings of several researchers who reported that the application of lime in acid soils significantly and significantly improves barley productivity in the highlands of Ethiopia (</w:t>
      </w:r>
      <w:proofErr w:type="spellStart"/>
      <w:r>
        <w:rPr>
          <w:szCs w:val="24"/>
        </w:rPr>
        <w:t>Achalu</w:t>
      </w:r>
      <w:proofErr w:type="spellEnd"/>
      <w:r>
        <w:rPr>
          <w:szCs w:val="24"/>
        </w:rPr>
        <w:t xml:space="preserve"> </w:t>
      </w:r>
      <w:r>
        <w:rPr>
          <w:i/>
          <w:szCs w:val="24"/>
        </w:rPr>
        <w:t>et al</w:t>
      </w:r>
      <w:r>
        <w:rPr>
          <w:szCs w:val="24"/>
        </w:rPr>
        <w:t xml:space="preserve">., 2012; </w:t>
      </w:r>
      <w:proofErr w:type="spellStart"/>
      <w:r>
        <w:rPr>
          <w:szCs w:val="24"/>
        </w:rPr>
        <w:t>Taye</w:t>
      </w:r>
      <w:proofErr w:type="spellEnd"/>
      <w:r>
        <w:rPr>
          <w:szCs w:val="24"/>
        </w:rPr>
        <w:t xml:space="preserve"> </w:t>
      </w:r>
      <w:r>
        <w:rPr>
          <w:i/>
          <w:szCs w:val="24"/>
        </w:rPr>
        <w:t>et al</w:t>
      </w:r>
      <w:r>
        <w:rPr>
          <w:szCs w:val="24"/>
        </w:rPr>
        <w:t xml:space="preserve">., 1993; </w:t>
      </w:r>
      <w:proofErr w:type="spellStart"/>
      <w:r>
        <w:rPr>
          <w:szCs w:val="24"/>
        </w:rPr>
        <w:t>Wassie</w:t>
      </w:r>
      <w:proofErr w:type="spellEnd"/>
      <w:r>
        <w:rPr>
          <w:szCs w:val="24"/>
        </w:rPr>
        <w:t xml:space="preserve"> and </w:t>
      </w:r>
      <w:proofErr w:type="spellStart"/>
      <w:r>
        <w:rPr>
          <w:szCs w:val="24"/>
        </w:rPr>
        <w:t>Shifraw</w:t>
      </w:r>
      <w:proofErr w:type="spellEnd"/>
      <w:r>
        <w:rPr>
          <w:szCs w:val="24"/>
        </w:rPr>
        <w:t>, 2009). It is also a known fact in the literature that since barley is one of the most sensitive crops to soil acidity, it responds dramatically to lime application when grown in strongly acid soils (</w:t>
      </w:r>
      <w:proofErr w:type="spellStart"/>
      <w:r>
        <w:rPr>
          <w:szCs w:val="24"/>
        </w:rPr>
        <w:t>Temesgen</w:t>
      </w:r>
      <w:proofErr w:type="spellEnd"/>
      <w:r>
        <w:rPr>
          <w:szCs w:val="24"/>
        </w:rPr>
        <w:t xml:space="preserve"> </w:t>
      </w:r>
      <w:r>
        <w:rPr>
          <w:i/>
          <w:szCs w:val="24"/>
        </w:rPr>
        <w:t>et al.,</w:t>
      </w:r>
      <w:r>
        <w:rPr>
          <w:szCs w:val="24"/>
        </w:rPr>
        <w:t xml:space="preserve"> 2016). Therefore, what differs is that the amount of lime required to be applied for optimum barley production could vary from soil to soil, depending on several factors. For example, </w:t>
      </w:r>
      <w:proofErr w:type="spellStart"/>
      <w:r>
        <w:rPr>
          <w:szCs w:val="24"/>
        </w:rPr>
        <w:t>Achalu</w:t>
      </w:r>
      <w:proofErr w:type="spellEnd"/>
      <w:r>
        <w:rPr>
          <w:szCs w:val="24"/>
        </w:rPr>
        <w:t xml:space="preserve"> </w:t>
      </w:r>
      <w:r>
        <w:rPr>
          <w:i/>
          <w:szCs w:val="24"/>
        </w:rPr>
        <w:t>et al</w:t>
      </w:r>
      <w:r>
        <w:rPr>
          <w:szCs w:val="24"/>
        </w:rPr>
        <w:t>. (2012) found the highest GY of barley with lime applied at 8 ton ha</w:t>
      </w:r>
      <w:r>
        <w:rPr>
          <w:szCs w:val="24"/>
          <w:vertAlign w:val="superscript"/>
        </w:rPr>
        <w:t>-1</w:t>
      </w:r>
      <w:r>
        <w:rPr>
          <w:szCs w:val="24"/>
        </w:rPr>
        <w:t xml:space="preserve"> in east </w:t>
      </w:r>
      <w:proofErr w:type="spellStart"/>
      <w:r>
        <w:rPr>
          <w:szCs w:val="24"/>
        </w:rPr>
        <w:t>Wolega</w:t>
      </w:r>
      <w:proofErr w:type="spellEnd"/>
      <w:r>
        <w:rPr>
          <w:szCs w:val="24"/>
        </w:rPr>
        <w:t xml:space="preserve"> Zone of western Ethiopia. On the other hand, </w:t>
      </w:r>
      <w:proofErr w:type="spellStart"/>
      <w:r>
        <w:rPr>
          <w:szCs w:val="24"/>
        </w:rPr>
        <w:t>Tadesse</w:t>
      </w:r>
      <w:proofErr w:type="spellEnd"/>
      <w:r>
        <w:rPr>
          <w:szCs w:val="24"/>
        </w:rPr>
        <w:t xml:space="preserve"> </w:t>
      </w:r>
      <w:r>
        <w:rPr>
          <w:i/>
          <w:szCs w:val="24"/>
        </w:rPr>
        <w:t>et al</w:t>
      </w:r>
      <w:r>
        <w:rPr>
          <w:szCs w:val="24"/>
        </w:rPr>
        <w:t>. (2018) reported the highest GY of barley at lime rate of 6 ton ha</w:t>
      </w:r>
      <w:r>
        <w:rPr>
          <w:szCs w:val="24"/>
          <w:vertAlign w:val="superscript"/>
        </w:rPr>
        <w:t xml:space="preserve">-1 </w:t>
      </w:r>
      <w:r>
        <w:rPr>
          <w:szCs w:val="24"/>
        </w:rPr>
        <w:t>in central Ethiopia.</w:t>
      </w:r>
    </w:p>
    <w:p w:rsidR="00901E5B" w:rsidRPr="000C3750" w:rsidRDefault="009747C3" w:rsidP="00901E5B">
      <w:pPr>
        <w:spacing w:after="0" w:line="360" w:lineRule="auto"/>
        <w:jc w:val="both"/>
        <w:rPr>
          <w:b/>
        </w:rPr>
      </w:pPr>
      <w:r w:rsidRPr="000C3750">
        <w:rPr>
          <w:b/>
        </w:rPr>
        <w:t>Table 4: Main effects of the applications of phosphorus and lime GY and AGBY of malt barley grown in the locations Bekoji and Kofele in central and southern Ethiopia.</w:t>
      </w:r>
    </w:p>
    <w:tbl>
      <w:tblPr>
        <w:tblW w:w="0" w:type="auto"/>
        <w:jc w:val="center"/>
        <w:tblInd w:w="-710" w:type="dxa"/>
        <w:tblBorders>
          <w:top w:val="single" w:sz="4" w:space="0" w:color="auto"/>
          <w:bottom w:val="single" w:sz="4" w:space="0" w:color="auto"/>
        </w:tblBorders>
        <w:tblLook w:val="04A0" w:firstRow="1" w:lastRow="0" w:firstColumn="1" w:lastColumn="0" w:noHBand="0" w:noVBand="1"/>
      </w:tblPr>
      <w:tblGrid>
        <w:gridCol w:w="2228"/>
        <w:gridCol w:w="2006"/>
        <w:gridCol w:w="1695"/>
        <w:gridCol w:w="1719"/>
      </w:tblGrid>
      <w:tr w:rsidR="00901E5B" w:rsidRPr="000C3750" w:rsidTr="00464E39">
        <w:trPr>
          <w:jc w:val="center"/>
        </w:trPr>
        <w:tc>
          <w:tcPr>
            <w:tcW w:w="2228" w:type="dxa"/>
            <w:vMerge w:val="restart"/>
            <w:tcBorders>
              <w:top w:val="single" w:sz="4" w:space="0" w:color="auto"/>
              <w:bottom w:val="nil"/>
            </w:tcBorders>
          </w:tcPr>
          <w:p w:rsidR="00901E5B" w:rsidRPr="000C3750" w:rsidRDefault="00901E5B" w:rsidP="00FD5A06">
            <w:pPr>
              <w:spacing w:after="0" w:line="240" w:lineRule="auto"/>
              <w:rPr>
                <w:b/>
                <w:sz w:val="20"/>
                <w:szCs w:val="18"/>
              </w:rPr>
            </w:pPr>
            <w:r w:rsidRPr="000C3750">
              <w:rPr>
                <w:b/>
                <w:sz w:val="20"/>
                <w:szCs w:val="18"/>
              </w:rPr>
              <w:t>Treatment</w:t>
            </w:r>
          </w:p>
        </w:tc>
        <w:tc>
          <w:tcPr>
            <w:tcW w:w="2006"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GY</w:t>
            </w:r>
          </w:p>
        </w:tc>
        <w:tc>
          <w:tcPr>
            <w:tcW w:w="1695"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AGBY</w:t>
            </w:r>
          </w:p>
        </w:tc>
        <w:tc>
          <w:tcPr>
            <w:tcW w:w="1719"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HI</w:t>
            </w:r>
          </w:p>
        </w:tc>
      </w:tr>
      <w:tr w:rsidR="00901E5B" w:rsidRPr="000C3750" w:rsidTr="00464E39">
        <w:trPr>
          <w:jc w:val="center"/>
        </w:trPr>
        <w:tc>
          <w:tcPr>
            <w:tcW w:w="2228" w:type="dxa"/>
            <w:vMerge/>
            <w:tcBorders>
              <w:top w:val="nil"/>
              <w:bottom w:val="single" w:sz="4" w:space="0" w:color="auto"/>
            </w:tcBorders>
          </w:tcPr>
          <w:p w:rsidR="00901E5B" w:rsidRPr="000C3750" w:rsidRDefault="00901E5B" w:rsidP="00FD5A06">
            <w:pPr>
              <w:spacing w:after="0" w:line="240" w:lineRule="auto"/>
              <w:rPr>
                <w:b/>
                <w:sz w:val="20"/>
                <w:szCs w:val="18"/>
              </w:rPr>
            </w:pPr>
          </w:p>
        </w:tc>
        <w:tc>
          <w:tcPr>
            <w:tcW w:w="3701" w:type="dxa"/>
            <w:gridSpan w:val="2"/>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mtha</w:t>
            </w:r>
            <w:r w:rsidRPr="000C3750">
              <w:rPr>
                <w:b/>
                <w:sz w:val="20"/>
                <w:szCs w:val="18"/>
                <w:vertAlign w:val="superscript"/>
              </w:rPr>
              <w:t>-1</w:t>
            </w:r>
          </w:p>
        </w:tc>
        <w:tc>
          <w:tcPr>
            <w:tcW w:w="1719" w:type="dxa"/>
            <w:tcBorders>
              <w:top w:val="single" w:sz="4" w:space="0" w:color="auto"/>
              <w:bottom w:val="single" w:sz="4" w:space="0" w:color="auto"/>
            </w:tcBorders>
          </w:tcPr>
          <w:p w:rsidR="00901E5B" w:rsidRPr="000C3750" w:rsidRDefault="00901E5B" w:rsidP="00FD5A06">
            <w:pPr>
              <w:spacing w:after="0" w:line="240" w:lineRule="auto"/>
              <w:rPr>
                <w:b/>
                <w:sz w:val="20"/>
                <w:szCs w:val="18"/>
              </w:rPr>
            </w:pPr>
          </w:p>
        </w:tc>
      </w:tr>
      <w:tr w:rsidR="00901E5B" w:rsidRPr="000C3750" w:rsidTr="00464E39">
        <w:trPr>
          <w:jc w:val="center"/>
        </w:trPr>
        <w:tc>
          <w:tcPr>
            <w:tcW w:w="7648" w:type="dxa"/>
            <w:gridSpan w:val="4"/>
            <w:tcBorders>
              <w:top w:val="single" w:sz="4" w:space="0" w:color="auto"/>
              <w:bottom w:val="single" w:sz="4" w:space="0" w:color="auto"/>
            </w:tcBorders>
          </w:tcPr>
          <w:p w:rsidR="00901E5B" w:rsidRPr="000C3750" w:rsidRDefault="00901E5B" w:rsidP="00FD5A06">
            <w:pPr>
              <w:spacing w:after="0" w:line="240" w:lineRule="auto"/>
              <w:rPr>
                <w:b/>
                <w:sz w:val="20"/>
                <w:szCs w:val="18"/>
              </w:rPr>
            </w:pPr>
            <w:r w:rsidRPr="000C3750">
              <w:rPr>
                <w:b/>
                <w:sz w:val="20"/>
                <w:szCs w:val="18"/>
              </w:rPr>
              <w:t>Phosphorus (kgha</w:t>
            </w:r>
            <w:r w:rsidR="00962227" w:rsidRPr="000C3750">
              <w:rPr>
                <w:b/>
                <w:sz w:val="20"/>
                <w:szCs w:val="18"/>
                <w:vertAlign w:val="superscript"/>
              </w:rPr>
              <w:t>-1</w:t>
            </w:r>
            <w:r w:rsidRPr="000C3750">
              <w:rPr>
                <w:b/>
                <w:sz w:val="20"/>
                <w:szCs w:val="18"/>
              </w:rPr>
              <w:t>P)-Levels</w:t>
            </w:r>
          </w:p>
        </w:tc>
      </w:tr>
      <w:tr w:rsidR="00901E5B" w:rsidRPr="000C3750" w:rsidTr="00464E39">
        <w:trPr>
          <w:jc w:val="center"/>
        </w:trPr>
        <w:tc>
          <w:tcPr>
            <w:tcW w:w="2228" w:type="dxa"/>
            <w:tcBorders>
              <w:top w:val="single" w:sz="4" w:space="0" w:color="auto"/>
              <w:bottom w:val="nil"/>
            </w:tcBorders>
          </w:tcPr>
          <w:p w:rsidR="00901E5B" w:rsidRPr="000C3750" w:rsidRDefault="00962227" w:rsidP="00FD5A06">
            <w:pPr>
              <w:spacing w:after="0" w:line="240" w:lineRule="auto"/>
              <w:rPr>
                <w:sz w:val="20"/>
                <w:szCs w:val="18"/>
              </w:rPr>
            </w:pPr>
            <w:r w:rsidRPr="000C3750">
              <w:rPr>
                <w:sz w:val="20"/>
                <w:szCs w:val="18"/>
              </w:rPr>
              <w:t>0</w:t>
            </w:r>
          </w:p>
        </w:tc>
        <w:tc>
          <w:tcPr>
            <w:tcW w:w="2006" w:type="dxa"/>
            <w:tcBorders>
              <w:top w:val="single" w:sz="4" w:space="0" w:color="auto"/>
              <w:bottom w:val="nil"/>
            </w:tcBorders>
          </w:tcPr>
          <w:p w:rsidR="00901E5B" w:rsidRPr="000C3750" w:rsidRDefault="00BF344D" w:rsidP="00FD5A06">
            <w:pPr>
              <w:spacing w:after="0" w:line="240" w:lineRule="auto"/>
              <w:jc w:val="center"/>
              <w:rPr>
                <w:sz w:val="20"/>
                <w:szCs w:val="18"/>
              </w:rPr>
            </w:pPr>
            <w:r w:rsidRPr="000C3750">
              <w:rPr>
                <w:sz w:val="20"/>
                <w:szCs w:val="18"/>
              </w:rPr>
              <w:t>2.85d†</w:t>
            </w:r>
          </w:p>
        </w:tc>
        <w:tc>
          <w:tcPr>
            <w:tcW w:w="1695" w:type="dxa"/>
            <w:tcBorders>
              <w:top w:val="single" w:sz="4" w:space="0" w:color="auto"/>
              <w:bottom w:val="nil"/>
            </w:tcBorders>
          </w:tcPr>
          <w:p w:rsidR="00901E5B" w:rsidRPr="000C3750" w:rsidRDefault="00901E5B" w:rsidP="00FD5A06">
            <w:pPr>
              <w:spacing w:after="0" w:line="240" w:lineRule="auto"/>
              <w:jc w:val="center"/>
              <w:rPr>
                <w:sz w:val="20"/>
                <w:szCs w:val="18"/>
              </w:rPr>
            </w:pPr>
            <w:r w:rsidRPr="000C3750">
              <w:rPr>
                <w:sz w:val="20"/>
                <w:szCs w:val="18"/>
              </w:rPr>
              <w:t>7.04d</w:t>
            </w:r>
          </w:p>
        </w:tc>
        <w:tc>
          <w:tcPr>
            <w:tcW w:w="1719" w:type="dxa"/>
            <w:tcBorders>
              <w:top w:val="single" w:sz="4" w:space="0" w:color="auto"/>
              <w:bottom w:val="nil"/>
            </w:tcBorders>
          </w:tcPr>
          <w:p w:rsidR="00901E5B" w:rsidRPr="000C3750" w:rsidRDefault="00901E5B" w:rsidP="00FD5A06">
            <w:pPr>
              <w:spacing w:after="0" w:line="240" w:lineRule="auto"/>
              <w:jc w:val="center"/>
              <w:rPr>
                <w:sz w:val="20"/>
                <w:szCs w:val="18"/>
              </w:rPr>
            </w:pPr>
            <w:r w:rsidRPr="000C3750">
              <w:rPr>
                <w:sz w:val="20"/>
                <w:szCs w:val="18"/>
              </w:rPr>
              <w:t>0.41</w:t>
            </w:r>
          </w:p>
        </w:tc>
      </w:tr>
      <w:tr w:rsidR="00901E5B" w:rsidRPr="000C3750" w:rsidTr="00464E39">
        <w:trPr>
          <w:jc w:val="center"/>
        </w:trPr>
        <w:tc>
          <w:tcPr>
            <w:tcW w:w="2228" w:type="dxa"/>
            <w:tcBorders>
              <w:top w:val="nil"/>
            </w:tcBorders>
          </w:tcPr>
          <w:p w:rsidR="00901E5B" w:rsidRPr="000C3750" w:rsidRDefault="00962227" w:rsidP="00FD5A06">
            <w:pPr>
              <w:spacing w:after="0" w:line="240" w:lineRule="auto"/>
              <w:rPr>
                <w:sz w:val="20"/>
                <w:szCs w:val="18"/>
              </w:rPr>
            </w:pPr>
            <w:r w:rsidRPr="000C3750">
              <w:rPr>
                <w:sz w:val="20"/>
                <w:szCs w:val="18"/>
              </w:rPr>
              <w:t>10</w:t>
            </w:r>
          </w:p>
        </w:tc>
        <w:tc>
          <w:tcPr>
            <w:tcW w:w="2006" w:type="dxa"/>
            <w:tcBorders>
              <w:top w:val="nil"/>
            </w:tcBorders>
          </w:tcPr>
          <w:p w:rsidR="00901E5B" w:rsidRPr="000C3750" w:rsidRDefault="00BF344D" w:rsidP="00FD5A06">
            <w:pPr>
              <w:spacing w:after="0" w:line="240" w:lineRule="auto"/>
              <w:jc w:val="center"/>
              <w:rPr>
                <w:sz w:val="20"/>
                <w:szCs w:val="18"/>
              </w:rPr>
            </w:pPr>
            <w:r w:rsidRPr="000C3750">
              <w:rPr>
                <w:sz w:val="20"/>
                <w:szCs w:val="18"/>
              </w:rPr>
              <w:t>3.40c</w:t>
            </w:r>
          </w:p>
        </w:tc>
        <w:tc>
          <w:tcPr>
            <w:tcW w:w="1695" w:type="dxa"/>
            <w:tcBorders>
              <w:top w:val="nil"/>
            </w:tcBorders>
          </w:tcPr>
          <w:p w:rsidR="00901E5B" w:rsidRPr="000C3750" w:rsidRDefault="00901E5B" w:rsidP="00FD5A06">
            <w:pPr>
              <w:spacing w:after="0" w:line="240" w:lineRule="auto"/>
              <w:jc w:val="center"/>
              <w:rPr>
                <w:sz w:val="20"/>
                <w:szCs w:val="18"/>
              </w:rPr>
            </w:pPr>
            <w:r w:rsidRPr="000C3750">
              <w:rPr>
                <w:sz w:val="20"/>
                <w:szCs w:val="18"/>
              </w:rPr>
              <w:t>8.67c</w:t>
            </w:r>
          </w:p>
        </w:tc>
        <w:tc>
          <w:tcPr>
            <w:tcW w:w="1719" w:type="dxa"/>
            <w:tcBorders>
              <w:top w:val="nil"/>
            </w:tcBorders>
          </w:tcPr>
          <w:p w:rsidR="00901E5B" w:rsidRPr="000C3750" w:rsidRDefault="00901E5B" w:rsidP="00FD5A06">
            <w:pPr>
              <w:spacing w:after="0" w:line="240" w:lineRule="auto"/>
              <w:jc w:val="center"/>
              <w:rPr>
                <w:sz w:val="20"/>
                <w:szCs w:val="18"/>
              </w:rPr>
            </w:pPr>
            <w:r w:rsidRPr="000C3750">
              <w:rPr>
                <w:sz w:val="20"/>
                <w:szCs w:val="18"/>
              </w:rPr>
              <w:t>0.40</w:t>
            </w:r>
          </w:p>
        </w:tc>
      </w:tr>
      <w:tr w:rsidR="00901E5B" w:rsidRPr="000C3750" w:rsidTr="00464E39">
        <w:trPr>
          <w:jc w:val="center"/>
        </w:trPr>
        <w:tc>
          <w:tcPr>
            <w:tcW w:w="2228" w:type="dxa"/>
          </w:tcPr>
          <w:p w:rsidR="00901E5B" w:rsidRPr="000C3750" w:rsidRDefault="00962227" w:rsidP="00FD5A06">
            <w:pPr>
              <w:spacing w:after="0" w:line="240" w:lineRule="auto"/>
              <w:rPr>
                <w:sz w:val="20"/>
                <w:szCs w:val="18"/>
              </w:rPr>
            </w:pPr>
            <w:r w:rsidRPr="000C3750">
              <w:rPr>
                <w:sz w:val="20"/>
                <w:szCs w:val="18"/>
              </w:rPr>
              <w:t>20</w:t>
            </w:r>
          </w:p>
        </w:tc>
        <w:tc>
          <w:tcPr>
            <w:tcW w:w="2006" w:type="dxa"/>
          </w:tcPr>
          <w:p w:rsidR="00901E5B" w:rsidRPr="000C3750" w:rsidRDefault="00BF344D" w:rsidP="00FD5A06">
            <w:pPr>
              <w:spacing w:after="0" w:line="240" w:lineRule="auto"/>
              <w:jc w:val="center"/>
              <w:rPr>
                <w:sz w:val="20"/>
                <w:szCs w:val="18"/>
              </w:rPr>
            </w:pPr>
            <w:r w:rsidRPr="000C3750">
              <w:rPr>
                <w:sz w:val="20"/>
                <w:szCs w:val="18"/>
              </w:rPr>
              <w:t>4.07b</w:t>
            </w:r>
          </w:p>
        </w:tc>
        <w:tc>
          <w:tcPr>
            <w:tcW w:w="1695" w:type="dxa"/>
          </w:tcPr>
          <w:p w:rsidR="00901E5B" w:rsidRPr="000C3750" w:rsidRDefault="00901E5B" w:rsidP="00FD5A06">
            <w:pPr>
              <w:spacing w:after="0" w:line="240" w:lineRule="auto"/>
              <w:jc w:val="center"/>
              <w:rPr>
                <w:sz w:val="20"/>
                <w:szCs w:val="18"/>
              </w:rPr>
            </w:pPr>
            <w:r w:rsidRPr="000C3750">
              <w:rPr>
                <w:sz w:val="20"/>
                <w:szCs w:val="18"/>
              </w:rPr>
              <w:t>10.11b</w:t>
            </w:r>
          </w:p>
        </w:tc>
        <w:tc>
          <w:tcPr>
            <w:tcW w:w="1719" w:type="dxa"/>
          </w:tcPr>
          <w:p w:rsidR="00901E5B" w:rsidRPr="000C3750" w:rsidRDefault="00901E5B" w:rsidP="00FD5A06">
            <w:pPr>
              <w:spacing w:after="0" w:line="240" w:lineRule="auto"/>
              <w:jc w:val="center"/>
              <w:rPr>
                <w:sz w:val="20"/>
                <w:szCs w:val="18"/>
              </w:rPr>
            </w:pPr>
            <w:r w:rsidRPr="000C3750">
              <w:rPr>
                <w:sz w:val="20"/>
                <w:szCs w:val="18"/>
              </w:rPr>
              <w:t>0.41</w:t>
            </w:r>
          </w:p>
        </w:tc>
      </w:tr>
      <w:tr w:rsidR="00901E5B" w:rsidRPr="000C3750" w:rsidTr="00464E39">
        <w:trPr>
          <w:jc w:val="center"/>
        </w:trPr>
        <w:tc>
          <w:tcPr>
            <w:tcW w:w="2228" w:type="dxa"/>
            <w:tcBorders>
              <w:bottom w:val="single" w:sz="4" w:space="0" w:color="auto"/>
            </w:tcBorders>
          </w:tcPr>
          <w:p w:rsidR="00901E5B" w:rsidRPr="000C3750" w:rsidRDefault="00962227" w:rsidP="00FD5A06">
            <w:pPr>
              <w:spacing w:after="0" w:line="240" w:lineRule="auto"/>
              <w:rPr>
                <w:sz w:val="20"/>
                <w:szCs w:val="18"/>
              </w:rPr>
            </w:pPr>
            <w:r w:rsidRPr="000C3750">
              <w:rPr>
                <w:sz w:val="20"/>
                <w:szCs w:val="18"/>
              </w:rPr>
              <w:t>30</w:t>
            </w:r>
          </w:p>
        </w:tc>
        <w:tc>
          <w:tcPr>
            <w:tcW w:w="2006" w:type="dxa"/>
            <w:tcBorders>
              <w:bottom w:val="single" w:sz="4" w:space="0" w:color="auto"/>
            </w:tcBorders>
          </w:tcPr>
          <w:p w:rsidR="00901E5B" w:rsidRPr="000C3750" w:rsidRDefault="00BF344D" w:rsidP="00FD5A06">
            <w:pPr>
              <w:spacing w:after="0" w:line="240" w:lineRule="auto"/>
              <w:jc w:val="center"/>
              <w:rPr>
                <w:sz w:val="20"/>
                <w:szCs w:val="18"/>
              </w:rPr>
            </w:pPr>
            <w:r w:rsidRPr="000C3750">
              <w:rPr>
                <w:sz w:val="20"/>
                <w:szCs w:val="18"/>
              </w:rPr>
              <w:t>4.38a</w:t>
            </w:r>
          </w:p>
        </w:tc>
        <w:tc>
          <w:tcPr>
            <w:tcW w:w="1695" w:type="dxa"/>
            <w:tcBorders>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11.01a</w:t>
            </w:r>
          </w:p>
        </w:tc>
        <w:tc>
          <w:tcPr>
            <w:tcW w:w="1719" w:type="dxa"/>
            <w:tcBorders>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0.40</w:t>
            </w:r>
          </w:p>
        </w:tc>
      </w:tr>
      <w:tr w:rsidR="00901E5B" w:rsidRPr="000C3750" w:rsidTr="00464E39">
        <w:trPr>
          <w:jc w:val="center"/>
        </w:trPr>
        <w:tc>
          <w:tcPr>
            <w:tcW w:w="2228" w:type="dxa"/>
            <w:tcBorders>
              <w:top w:val="single" w:sz="4" w:space="0" w:color="auto"/>
              <w:bottom w:val="single" w:sz="4" w:space="0" w:color="auto"/>
            </w:tcBorders>
          </w:tcPr>
          <w:p w:rsidR="00901E5B" w:rsidRPr="000C3750" w:rsidRDefault="00901E5B" w:rsidP="00FD5A06">
            <w:pPr>
              <w:spacing w:after="0" w:line="240" w:lineRule="auto"/>
              <w:rPr>
                <w:b/>
                <w:sz w:val="20"/>
                <w:szCs w:val="18"/>
              </w:rPr>
            </w:pPr>
            <w:r w:rsidRPr="000C3750">
              <w:rPr>
                <w:b/>
                <w:sz w:val="20"/>
                <w:szCs w:val="18"/>
              </w:rPr>
              <w:t>LSD (0.05)</w:t>
            </w:r>
          </w:p>
        </w:tc>
        <w:tc>
          <w:tcPr>
            <w:tcW w:w="2006"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1.22</w:t>
            </w:r>
          </w:p>
        </w:tc>
        <w:tc>
          <w:tcPr>
            <w:tcW w:w="1695"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5.3</w:t>
            </w:r>
          </w:p>
        </w:tc>
        <w:tc>
          <w:tcPr>
            <w:tcW w:w="1719" w:type="dxa"/>
            <w:tcBorders>
              <w:top w:val="single" w:sz="4" w:space="0" w:color="auto"/>
              <w:bottom w:val="single" w:sz="4" w:space="0" w:color="auto"/>
            </w:tcBorders>
          </w:tcPr>
          <w:p w:rsidR="00901E5B" w:rsidRPr="000C3750" w:rsidRDefault="002F12CB" w:rsidP="00FD5A06">
            <w:pPr>
              <w:spacing w:after="0" w:line="240" w:lineRule="auto"/>
              <w:jc w:val="center"/>
              <w:rPr>
                <w:b/>
                <w:sz w:val="20"/>
                <w:szCs w:val="18"/>
              </w:rPr>
            </w:pPr>
            <w:r w:rsidRPr="000C3750">
              <w:rPr>
                <w:b/>
                <w:sz w:val="20"/>
                <w:szCs w:val="18"/>
              </w:rPr>
              <w:t>ns</w:t>
            </w:r>
          </w:p>
        </w:tc>
      </w:tr>
      <w:tr w:rsidR="00901E5B" w:rsidRPr="000C3750" w:rsidTr="00464E39">
        <w:trPr>
          <w:jc w:val="center"/>
        </w:trPr>
        <w:tc>
          <w:tcPr>
            <w:tcW w:w="7648" w:type="dxa"/>
            <w:gridSpan w:val="4"/>
            <w:tcBorders>
              <w:top w:val="single" w:sz="4" w:space="0" w:color="auto"/>
              <w:bottom w:val="single" w:sz="4" w:space="0" w:color="auto"/>
            </w:tcBorders>
          </w:tcPr>
          <w:p w:rsidR="00901E5B" w:rsidRPr="000C3750" w:rsidRDefault="00901E5B" w:rsidP="00FD5A06">
            <w:pPr>
              <w:spacing w:after="0" w:line="240" w:lineRule="auto"/>
              <w:rPr>
                <w:b/>
                <w:sz w:val="20"/>
                <w:szCs w:val="18"/>
              </w:rPr>
            </w:pPr>
            <w:r w:rsidRPr="000C3750">
              <w:rPr>
                <w:b/>
                <w:sz w:val="20"/>
                <w:szCs w:val="18"/>
              </w:rPr>
              <w:t>Lime rate (tha</w:t>
            </w:r>
            <w:r w:rsidR="00962227" w:rsidRPr="000C3750">
              <w:rPr>
                <w:b/>
                <w:sz w:val="20"/>
                <w:szCs w:val="18"/>
                <w:vertAlign w:val="superscript"/>
              </w:rPr>
              <w:t>-1</w:t>
            </w:r>
            <w:r w:rsidRPr="000C3750">
              <w:rPr>
                <w:b/>
                <w:sz w:val="20"/>
                <w:szCs w:val="18"/>
              </w:rPr>
              <w:t>L)</w:t>
            </w:r>
          </w:p>
        </w:tc>
      </w:tr>
      <w:tr w:rsidR="00901E5B" w:rsidRPr="000C3750" w:rsidTr="00464E39">
        <w:trPr>
          <w:jc w:val="center"/>
        </w:trPr>
        <w:tc>
          <w:tcPr>
            <w:tcW w:w="2228" w:type="dxa"/>
            <w:tcBorders>
              <w:top w:val="single" w:sz="4" w:space="0" w:color="auto"/>
            </w:tcBorders>
          </w:tcPr>
          <w:p w:rsidR="00901E5B" w:rsidRPr="000C3750" w:rsidRDefault="00962227" w:rsidP="00FD5A06">
            <w:pPr>
              <w:spacing w:after="0" w:line="240" w:lineRule="auto"/>
              <w:rPr>
                <w:sz w:val="20"/>
                <w:szCs w:val="18"/>
              </w:rPr>
            </w:pPr>
            <w:r w:rsidRPr="000C3750">
              <w:rPr>
                <w:sz w:val="20"/>
                <w:szCs w:val="18"/>
              </w:rPr>
              <w:t>0.0</w:t>
            </w:r>
          </w:p>
        </w:tc>
        <w:tc>
          <w:tcPr>
            <w:tcW w:w="2006" w:type="dxa"/>
            <w:tcBorders>
              <w:top w:val="single" w:sz="4" w:space="0" w:color="auto"/>
            </w:tcBorders>
          </w:tcPr>
          <w:p w:rsidR="00901E5B" w:rsidRPr="000C3750" w:rsidRDefault="00BF344D" w:rsidP="00FD5A06">
            <w:pPr>
              <w:spacing w:after="0" w:line="240" w:lineRule="auto"/>
              <w:jc w:val="center"/>
              <w:rPr>
                <w:sz w:val="20"/>
                <w:szCs w:val="18"/>
              </w:rPr>
            </w:pPr>
            <w:r w:rsidRPr="000C3750">
              <w:rPr>
                <w:sz w:val="20"/>
                <w:szCs w:val="18"/>
              </w:rPr>
              <w:t>3.21c</w:t>
            </w:r>
          </w:p>
        </w:tc>
        <w:tc>
          <w:tcPr>
            <w:tcW w:w="1695" w:type="dxa"/>
            <w:tcBorders>
              <w:top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8.08c</w:t>
            </w:r>
          </w:p>
        </w:tc>
        <w:tc>
          <w:tcPr>
            <w:tcW w:w="1719" w:type="dxa"/>
            <w:tcBorders>
              <w:top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0.41</w:t>
            </w:r>
          </w:p>
        </w:tc>
      </w:tr>
      <w:tr w:rsidR="00901E5B" w:rsidRPr="000C3750" w:rsidTr="00464E39">
        <w:trPr>
          <w:jc w:val="center"/>
        </w:trPr>
        <w:tc>
          <w:tcPr>
            <w:tcW w:w="2228" w:type="dxa"/>
          </w:tcPr>
          <w:p w:rsidR="00901E5B" w:rsidRPr="000C3750" w:rsidRDefault="00962227" w:rsidP="00962227">
            <w:pPr>
              <w:pStyle w:val="CommentText"/>
              <w:spacing w:after="0" w:line="240" w:lineRule="auto"/>
              <w:rPr>
                <w:rFonts w:ascii="Times New Roman" w:eastAsiaTheme="minorHAnsi" w:hAnsi="Times New Roman"/>
                <w:szCs w:val="18"/>
              </w:rPr>
            </w:pPr>
            <w:r w:rsidRPr="000C3750">
              <w:rPr>
                <w:rFonts w:ascii="Times New Roman" w:eastAsiaTheme="minorHAnsi" w:hAnsi="Times New Roman"/>
                <w:szCs w:val="18"/>
              </w:rPr>
              <w:t>1.5</w:t>
            </w:r>
          </w:p>
        </w:tc>
        <w:tc>
          <w:tcPr>
            <w:tcW w:w="2006" w:type="dxa"/>
          </w:tcPr>
          <w:p w:rsidR="00901E5B" w:rsidRPr="000C3750" w:rsidRDefault="00BF344D" w:rsidP="00FD5A06">
            <w:pPr>
              <w:spacing w:after="0" w:line="240" w:lineRule="auto"/>
              <w:jc w:val="center"/>
              <w:rPr>
                <w:sz w:val="20"/>
                <w:szCs w:val="18"/>
              </w:rPr>
            </w:pPr>
            <w:r w:rsidRPr="000C3750">
              <w:rPr>
                <w:sz w:val="20"/>
                <w:szCs w:val="18"/>
              </w:rPr>
              <w:t>3.61b</w:t>
            </w:r>
          </w:p>
        </w:tc>
        <w:tc>
          <w:tcPr>
            <w:tcW w:w="1695" w:type="dxa"/>
          </w:tcPr>
          <w:p w:rsidR="00901E5B" w:rsidRPr="000C3750" w:rsidRDefault="00901E5B" w:rsidP="00FD5A06">
            <w:pPr>
              <w:spacing w:after="0" w:line="240" w:lineRule="auto"/>
              <w:jc w:val="center"/>
              <w:rPr>
                <w:sz w:val="20"/>
                <w:szCs w:val="18"/>
              </w:rPr>
            </w:pPr>
            <w:r w:rsidRPr="000C3750">
              <w:rPr>
                <w:sz w:val="20"/>
                <w:szCs w:val="18"/>
              </w:rPr>
              <w:t>8.91b</w:t>
            </w:r>
          </w:p>
        </w:tc>
        <w:tc>
          <w:tcPr>
            <w:tcW w:w="1719" w:type="dxa"/>
          </w:tcPr>
          <w:p w:rsidR="00901E5B" w:rsidRPr="000C3750" w:rsidRDefault="00901E5B" w:rsidP="00FD5A06">
            <w:pPr>
              <w:spacing w:after="0" w:line="240" w:lineRule="auto"/>
              <w:jc w:val="center"/>
              <w:rPr>
                <w:sz w:val="20"/>
                <w:szCs w:val="18"/>
              </w:rPr>
            </w:pPr>
            <w:r w:rsidRPr="000C3750">
              <w:rPr>
                <w:sz w:val="20"/>
                <w:szCs w:val="18"/>
              </w:rPr>
              <w:t>0.40</w:t>
            </w:r>
          </w:p>
        </w:tc>
      </w:tr>
      <w:tr w:rsidR="00901E5B" w:rsidRPr="000C3750" w:rsidTr="00464E39">
        <w:trPr>
          <w:jc w:val="center"/>
        </w:trPr>
        <w:tc>
          <w:tcPr>
            <w:tcW w:w="2228" w:type="dxa"/>
            <w:tcBorders>
              <w:bottom w:val="single" w:sz="4" w:space="0" w:color="auto"/>
            </w:tcBorders>
          </w:tcPr>
          <w:p w:rsidR="00901E5B" w:rsidRPr="000C3750" w:rsidRDefault="00962227" w:rsidP="00FD5A06">
            <w:pPr>
              <w:spacing w:after="0" w:line="240" w:lineRule="auto"/>
              <w:rPr>
                <w:sz w:val="20"/>
                <w:szCs w:val="18"/>
              </w:rPr>
            </w:pPr>
            <w:r w:rsidRPr="000C3750">
              <w:rPr>
                <w:sz w:val="20"/>
                <w:szCs w:val="18"/>
              </w:rPr>
              <w:t>3.0</w:t>
            </w:r>
          </w:p>
        </w:tc>
        <w:tc>
          <w:tcPr>
            <w:tcW w:w="2006" w:type="dxa"/>
            <w:tcBorders>
              <w:bottom w:val="single" w:sz="4" w:space="0" w:color="auto"/>
            </w:tcBorders>
          </w:tcPr>
          <w:p w:rsidR="00901E5B" w:rsidRPr="000C3750" w:rsidRDefault="00BF344D" w:rsidP="00FD5A06">
            <w:pPr>
              <w:spacing w:after="0" w:line="240" w:lineRule="auto"/>
              <w:jc w:val="center"/>
              <w:rPr>
                <w:sz w:val="20"/>
                <w:szCs w:val="18"/>
              </w:rPr>
            </w:pPr>
            <w:r w:rsidRPr="000C3750">
              <w:rPr>
                <w:sz w:val="20"/>
                <w:szCs w:val="18"/>
              </w:rPr>
              <w:t>4.18a</w:t>
            </w:r>
          </w:p>
        </w:tc>
        <w:tc>
          <w:tcPr>
            <w:tcW w:w="1695" w:type="dxa"/>
            <w:tcBorders>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10.63a</w:t>
            </w:r>
          </w:p>
        </w:tc>
        <w:tc>
          <w:tcPr>
            <w:tcW w:w="1719" w:type="dxa"/>
            <w:tcBorders>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0.39</w:t>
            </w:r>
          </w:p>
        </w:tc>
      </w:tr>
      <w:tr w:rsidR="00901E5B" w:rsidRPr="000C3750" w:rsidTr="00464E39">
        <w:trPr>
          <w:jc w:val="center"/>
        </w:trPr>
        <w:tc>
          <w:tcPr>
            <w:tcW w:w="2228" w:type="dxa"/>
            <w:tcBorders>
              <w:top w:val="single" w:sz="4" w:space="0" w:color="auto"/>
              <w:bottom w:val="single" w:sz="4" w:space="0" w:color="auto"/>
            </w:tcBorders>
          </w:tcPr>
          <w:p w:rsidR="00901E5B" w:rsidRPr="000C3750" w:rsidRDefault="00901E5B" w:rsidP="00FD5A06">
            <w:pPr>
              <w:spacing w:after="0" w:line="240" w:lineRule="auto"/>
              <w:rPr>
                <w:b/>
                <w:sz w:val="20"/>
                <w:szCs w:val="18"/>
              </w:rPr>
            </w:pPr>
            <w:r w:rsidRPr="000C3750">
              <w:rPr>
                <w:b/>
                <w:sz w:val="20"/>
                <w:szCs w:val="18"/>
              </w:rPr>
              <w:t>LSD (0.05)</w:t>
            </w:r>
          </w:p>
        </w:tc>
        <w:tc>
          <w:tcPr>
            <w:tcW w:w="2006" w:type="dxa"/>
            <w:tcBorders>
              <w:top w:val="single" w:sz="4" w:space="0" w:color="auto"/>
              <w:bottom w:val="single" w:sz="4" w:space="0" w:color="auto"/>
            </w:tcBorders>
          </w:tcPr>
          <w:p w:rsidR="00901E5B" w:rsidRPr="000C3750" w:rsidRDefault="00BF344D" w:rsidP="00FD5A06">
            <w:pPr>
              <w:spacing w:after="0" w:line="240" w:lineRule="auto"/>
              <w:jc w:val="center"/>
              <w:rPr>
                <w:b/>
                <w:sz w:val="20"/>
                <w:szCs w:val="18"/>
              </w:rPr>
            </w:pPr>
            <w:r w:rsidRPr="000C3750">
              <w:rPr>
                <w:b/>
                <w:sz w:val="20"/>
                <w:szCs w:val="18"/>
              </w:rPr>
              <w:t>0.11</w:t>
            </w:r>
          </w:p>
        </w:tc>
        <w:tc>
          <w:tcPr>
            <w:tcW w:w="1695"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0.46</w:t>
            </w:r>
          </w:p>
        </w:tc>
        <w:tc>
          <w:tcPr>
            <w:tcW w:w="1719" w:type="dxa"/>
            <w:tcBorders>
              <w:top w:val="single" w:sz="4" w:space="0" w:color="auto"/>
              <w:bottom w:val="single" w:sz="4" w:space="0" w:color="auto"/>
            </w:tcBorders>
          </w:tcPr>
          <w:p w:rsidR="00901E5B" w:rsidRPr="000C3750" w:rsidRDefault="00F04275" w:rsidP="00FD5A06">
            <w:pPr>
              <w:spacing w:after="0" w:line="240" w:lineRule="auto"/>
              <w:jc w:val="center"/>
              <w:rPr>
                <w:b/>
                <w:sz w:val="20"/>
                <w:szCs w:val="18"/>
              </w:rPr>
            </w:pPr>
            <w:r w:rsidRPr="000C3750">
              <w:rPr>
                <w:b/>
                <w:sz w:val="20"/>
                <w:szCs w:val="18"/>
              </w:rPr>
              <w:t>Ns</w:t>
            </w:r>
          </w:p>
        </w:tc>
      </w:tr>
      <w:tr w:rsidR="00901E5B" w:rsidRPr="000C3750" w:rsidTr="00464E39">
        <w:trPr>
          <w:jc w:val="center"/>
        </w:trPr>
        <w:tc>
          <w:tcPr>
            <w:tcW w:w="7648" w:type="dxa"/>
            <w:gridSpan w:val="4"/>
            <w:tcBorders>
              <w:top w:val="single" w:sz="4" w:space="0" w:color="auto"/>
              <w:bottom w:val="single" w:sz="4" w:space="0" w:color="auto"/>
            </w:tcBorders>
          </w:tcPr>
          <w:p w:rsidR="00901E5B" w:rsidRPr="000C3750" w:rsidRDefault="00901E5B" w:rsidP="00FD5A06">
            <w:pPr>
              <w:spacing w:after="0" w:line="240" w:lineRule="auto"/>
              <w:rPr>
                <w:sz w:val="20"/>
                <w:szCs w:val="18"/>
              </w:rPr>
            </w:pPr>
            <w:r w:rsidRPr="000C3750">
              <w:rPr>
                <w:b/>
                <w:sz w:val="20"/>
                <w:szCs w:val="18"/>
              </w:rPr>
              <w:t>Locations (</w:t>
            </w:r>
            <w:proofErr w:type="spellStart"/>
            <w:r w:rsidRPr="000C3750">
              <w:rPr>
                <w:b/>
                <w:sz w:val="20"/>
                <w:szCs w:val="18"/>
              </w:rPr>
              <w:t>Loc</w:t>
            </w:r>
            <w:proofErr w:type="spellEnd"/>
            <w:r w:rsidRPr="000C3750">
              <w:rPr>
                <w:b/>
                <w:sz w:val="20"/>
                <w:szCs w:val="18"/>
              </w:rPr>
              <w:t>)</w:t>
            </w:r>
          </w:p>
        </w:tc>
      </w:tr>
      <w:tr w:rsidR="00901E5B" w:rsidRPr="000C3750" w:rsidTr="00464E39">
        <w:trPr>
          <w:jc w:val="center"/>
        </w:trPr>
        <w:tc>
          <w:tcPr>
            <w:tcW w:w="2228" w:type="dxa"/>
            <w:tcBorders>
              <w:top w:val="single" w:sz="4" w:space="0" w:color="auto"/>
              <w:bottom w:val="nil"/>
            </w:tcBorders>
          </w:tcPr>
          <w:p w:rsidR="00901E5B" w:rsidRPr="000C3750" w:rsidRDefault="00901E5B" w:rsidP="00FD5A06">
            <w:pPr>
              <w:spacing w:after="0" w:line="240" w:lineRule="auto"/>
              <w:rPr>
                <w:sz w:val="20"/>
                <w:szCs w:val="18"/>
              </w:rPr>
            </w:pPr>
            <w:r w:rsidRPr="000C3750">
              <w:rPr>
                <w:sz w:val="20"/>
                <w:szCs w:val="18"/>
              </w:rPr>
              <w:t>Bekoji</w:t>
            </w:r>
          </w:p>
        </w:tc>
        <w:tc>
          <w:tcPr>
            <w:tcW w:w="2006" w:type="dxa"/>
            <w:tcBorders>
              <w:top w:val="single" w:sz="4" w:space="0" w:color="auto"/>
              <w:bottom w:val="nil"/>
            </w:tcBorders>
          </w:tcPr>
          <w:p w:rsidR="00901E5B" w:rsidRPr="000C3750" w:rsidRDefault="00901E5B" w:rsidP="00FD5A06">
            <w:pPr>
              <w:spacing w:after="0" w:line="240" w:lineRule="auto"/>
              <w:jc w:val="center"/>
              <w:rPr>
                <w:sz w:val="20"/>
                <w:szCs w:val="18"/>
              </w:rPr>
            </w:pPr>
            <w:r w:rsidRPr="000C3750">
              <w:rPr>
                <w:sz w:val="20"/>
                <w:szCs w:val="18"/>
              </w:rPr>
              <w:t>3.19b</w:t>
            </w:r>
          </w:p>
        </w:tc>
        <w:tc>
          <w:tcPr>
            <w:tcW w:w="1695" w:type="dxa"/>
            <w:tcBorders>
              <w:top w:val="single" w:sz="4" w:space="0" w:color="auto"/>
              <w:bottom w:val="nil"/>
            </w:tcBorders>
          </w:tcPr>
          <w:p w:rsidR="00901E5B" w:rsidRPr="000C3750" w:rsidRDefault="00901E5B" w:rsidP="00FD5A06">
            <w:pPr>
              <w:spacing w:after="0" w:line="240" w:lineRule="auto"/>
              <w:jc w:val="center"/>
              <w:rPr>
                <w:sz w:val="20"/>
                <w:szCs w:val="18"/>
              </w:rPr>
            </w:pPr>
            <w:r w:rsidRPr="000C3750">
              <w:rPr>
                <w:sz w:val="20"/>
                <w:szCs w:val="18"/>
              </w:rPr>
              <w:t>7.85b</w:t>
            </w:r>
          </w:p>
        </w:tc>
        <w:tc>
          <w:tcPr>
            <w:tcW w:w="1719" w:type="dxa"/>
            <w:tcBorders>
              <w:top w:val="single" w:sz="4" w:space="0" w:color="auto"/>
              <w:bottom w:val="nil"/>
            </w:tcBorders>
          </w:tcPr>
          <w:p w:rsidR="00901E5B" w:rsidRPr="000C3750" w:rsidRDefault="00901E5B" w:rsidP="00FD5A06">
            <w:pPr>
              <w:spacing w:after="0" w:line="240" w:lineRule="auto"/>
              <w:jc w:val="center"/>
              <w:rPr>
                <w:sz w:val="20"/>
                <w:szCs w:val="18"/>
              </w:rPr>
            </w:pPr>
            <w:r w:rsidRPr="000C3750">
              <w:rPr>
                <w:sz w:val="20"/>
                <w:szCs w:val="18"/>
              </w:rPr>
              <w:t>0.41</w:t>
            </w:r>
          </w:p>
        </w:tc>
      </w:tr>
      <w:tr w:rsidR="00901E5B" w:rsidRPr="000C3750" w:rsidTr="00464E39">
        <w:trPr>
          <w:jc w:val="center"/>
        </w:trPr>
        <w:tc>
          <w:tcPr>
            <w:tcW w:w="2228" w:type="dxa"/>
            <w:tcBorders>
              <w:top w:val="nil"/>
              <w:bottom w:val="single" w:sz="4" w:space="0" w:color="auto"/>
            </w:tcBorders>
          </w:tcPr>
          <w:p w:rsidR="00901E5B" w:rsidRPr="000C3750" w:rsidRDefault="00901E5B" w:rsidP="00FD5A06">
            <w:pPr>
              <w:spacing w:after="0" w:line="240" w:lineRule="auto"/>
              <w:rPr>
                <w:sz w:val="20"/>
                <w:szCs w:val="18"/>
              </w:rPr>
            </w:pPr>
            <w:r w:rsidRPr="000C3750">
              <w:rPr>
                <w:sz w:val="20"/>
                <w:szCs w:val="18"/>
              </w:rPr>
              <w:t>Kofele</w:t>
            </w:r>
          </w:p>
        </w:tc>
        <w:tc>
          <w:tcPr>
            <w:tcW w:w="2006" w:type="dxa"/>
            <w:tcBorders>
              <w:top w:val="nil"/>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4.16a</w:t>
            </w:r>
          </w:p>
        </w:tc>
        <w:tc>
          <w:tcPr>
            <w:tcW w:w="1695" w:type="dxa"/>
            <w:tcBorders>
              <w:top w:val="nil"/>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10.56a</w:t>
            </w:r>
          </w:p>
        </w:tc>
        <w:tc>
          <w:tcPr>
            <w:tcW w:w="1719" w:type="dxa"/>
            <w:tcBorders>
              <w:top w:val="nil"/>
              <w:bottom w:val="single" w:sz="4" w:space="0" w:color="auto"/>
            </w:tcBorders>
          </w:tcPr>
          <w:p w:rsidR="00901E5B" w:rsidRPr="000C3750" w:rsidRDefault="00901E5B" w:rsidP="00FD5A06">
            <w:pPr>
              <w:spacing w:after="0" w:line="240" w:lineRule="auto"/>
              <w:jc w:val="center"/>
              <w:rPr>
                <w:sz w:val="20"/>
                <w:szCs w:val="18"/>
              </w:rPr>
            </w:pPr>
            <w:r w:rsidRPr="000C3750">
              <w:rPr>
                <w:sz w:val="20"/>
                <w:szCs w:val="18"/>
              </w:rPr>
              <w:t>0.41</w:t>
            </w:r>
          </w:p>
        </w:tc>
      </w:tr>
      <w:tr w:rsidR="00901E5B" w:rsidRPr="000C3750" w:rsidTr="00464E39">
        <w:trPr>
          <w:jc w:val="center"/>
        </w:trPr>
        <w:tc>
          <w:tcPr>
            <w:tcW w:w="2228" w:type="dxa"/>
            <w:tcBorders>
              <w:top w:val="single" w:sz="4" w:space="0" w:color="auto"/>
              <w:bottom w:val="single" w:sz="4" w:space="0" w:color="auto"/>
            </w:tcBorders>
          </w:tcPr>
          <w:p w:rsidR="00901E5B" w:rsidRPr="000C3750" w:rsidRDefault="00901E5B" w:rsidP="00FD5A06">
            <w:pPr>
              <w:spacing w:after="0" w:line="240" w:lineRule="auto"/>
              <w:rPr>
                <w:b/>
                <w:sz w:val="20"/>
                <w:szCs w:val="18"/>
              </w:rPr>
            </w:pPr>
            <w:r w:rsidRPr="000C3750">
              <w:rPr>
                <w:b/>
                <w:sz w:val="20"/>
                <w:szCs w:val="18"/>
              </w:rPr>
              <w:t>LSD (0.05)</w:t>
            </w:r>
          </w:p>
        </w:tc>
        <w:tc>
          <w:tcPr>
            <w:tcW w:w="2006"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0.09</w:t>
            </w:r>
          </w:p>
        </w:tc>
        <w:tc>
          <w:tcPr>
            <w:tcW w:w="1695" w:type="dxa"/>
            <w:tcBorders>
              <w:top w:val="single" w:sz="4" w:space="0" w:color="auto"/>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0.37</w:t>
            </w:r>
          </w:p>
        </w:tc>
        <w:tc>
          <w:tcPr>
            <w:tcW w:w="1719" w:type="dxa"/>
            <w:tcBorders>
              <w:top w:val="single" w:sz="4" w:space="0" w:color="auto"/>
              <w:bottom w:val="single" w:sz="4" w:space="0" w:color="auto"/>
            </w:tcBorders>
          </w:tcPr>
          <w:p w:rsidR="00901E5B" w:rsidRPr="000C3750" w:rsidRDefault="00F04275" w:rsidP="00FD5A06">
            <w:pPr>
              <w:spacing w:after="0" w:line="240" w:lineRule="auto"/>
              <w:jc w:val="center"/>
              <w:rPr>
                <w:b/>
                <w:sz w:val="20"/>
                <w:szCs w:val="18"/>
              </w:rPr>
            </w:pPr>
            <w:r w:rsidRPr="000C3750">
              <w:rPr>
                <w:b/>
                <w:sz w:val="20"/>
                <w:szCs w:val="18"/>
              </w:rPr>
              <w:t>Ns</w:t>
            </w:r>
          </w:p>
        </w:tc>
      </w:tr>
      <w:tr w:rsidR="00901E5B" w:rsidRPr="000C3750" w:rsidTr="00464E39">
        <w:trPr>
          <w:jc w:val="center"/>
        </w:trPr>
        <w:tc>
          <w:tcPr>
            <w:tcW w:w="2228" w:type="dxa"/>
            <w:tcBorders>
              <w:top w:val="nil"/>
              <w:bottom w:val="single" w:sz="4" w:space="0" w:color="auto"/>
            </w:tcBorders>
          </w:tcPr>
          <w:p w:rsidR="00901E5B" w:rsidRPr="000C3750" w:rsidRDefault="00901E5B" w:rsidP="00FD5A06">
            <w:pPr>
              <w:spacing w:after="0" w:line="240" w:lineRule="auto"/>
              <w:rPr>
                <w:b/>
                <w:sz w:val="20"/>
                <w:szCs w:val="18"/>
              </w:rPr>
            </w:pPr>
            <w:r w:rsidRPr="000C3750">
              <w:rPr>
                <w:b/>
                <w:sz w:val="20"/>
                <w:szCs w:val="18"/>
              </w:rPr>
              <w:t>CV (%)</w:t>
            </w:r>
          </w:p>
        </w:tc>
        <w:tc>
          <w:tcPr>
            <w:tcW w:w="2006" w:type="dxa"/>
            <w:tcBorders>
              <w:top w:val="nil"/>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9.6</w:t>
            </w:r>
          </w:p>
        </w:tc>
        <w:tc>
          <w:tcPr>
            <w:tcW w:w="1695" w:type="dxa"/>
            <w:tcBorders>
              <w:top w:val="nil"/>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8.5</w:t>
            </w:r>
          </w:p>
        </w:tc>
        <w:tc>
          <w:tcPr>
            <w:tcW w:w="1719" w:type="dxa"/>
            <w:tcBorders>
              <w:top w:val="nil"/>
              <w:bottom w:val="single" w:sz="4" w:space="0" w:color="auto"/>
            </w:tcBorders>
          </w:tcPr>
          <w:p w:rsidR="00901E5B" w:rsidRPr="000C3750" w:rsidRDefault="00901E5B" w:rsidP="00FD5A06">
            <w:pPr>
              <w:spacing w:after="0" w:line="240" w:lineRule="auto"/>
              <w:jc w:val="center"/>
              <w:rPr>
                <w:b/>
                <w:sz w:val="20"/>
                <w:szCs w:val="18"/>
              </w:rPr>
            </w:pPr>
            <w:r w:rsidRPr="000C3750">
              <w:rPr>
                <w:b/>
                <w:sz w:val="20"/>
                <w:szCs w:val="18"/>
              </w:rPr>
              <w:t>11.3</w:t>
            </w:r>
          </w:p>
        </w:tc>
      </w:tr>
    </w:tbl>
    <w:p w:rsidR="00901E5B" w:rsidRPr="000C3750" w:rsidRDefault="00F04275" w:rsidP="007E5159">
      <w:pPr>
        <w:spacing w:after="0" w:line="240" w:lineRule="auto"/>
        <w:rPr>
          <w:i/>
        </w:rPr>
      </w:pPr>
      <w:r w:rsidRPr="000C3750">
        <w:rPr>
          <w:i/>
        </w:rPr>
        <w:t>Ns = not statistically non-significant; †Means within the column followed by the same letter (s) are not statistically different between each other.</w:t>
      </w:r>
    </w:p>
    <w:p w:rsidR="00901E5B" w:rsidRPr="000C3750" w:rsidRDefault="00901E5B" w:rsidP="00962227">
      <w:pPr>
        <w:pStyle w:val="ListParagraph"/>
        <w:spacing w:before="120" w:after="0" w:line="360" w:lineRule="auto"/>
        <w:ind w:left="0"/>
        <w:jc w:val="both"/>
        <w:rPr>
          <w:rFonts w:ascii="Times New Roman" w:hAnsi="Times New Roman"/>
          <w:sz w:val="24"/>
          <w:szCs w:val="24"/>
        </w:rPr>
      </w:pPr>
      <w:r w:rsidRPr="000C3750">
        <w:rPr>
          <w:rFonts w:ascii="Times New Roman" w:hAnsi="Times New Roman"/>
          <w:sz w:val="24"/>
          <w:szCs w:val="24"/>
        </w:rPr>
        <w:lastRenderedPageBreak/>
        <w:t>Similarly, there was a significant difference between the locations in their effects on GY and AGBY of malt barley. Consequently, higher GY (4.16</w:t>
      </w:r>
      <w:r w:rsidRPr="000C3750">
        <w:rPr>
          <w:b/>
          <w:sz w:val="20"/>
          <w:szCs w:val="18"/>
        </w:rPr>
        <w:t xml:space="preserve"> </w:t>
      </w:r>
      <w:r w:rsidRPr="000C3750">
        <w:rPr>
          <w:rFonts w:ascii="Times New Roman" w:hAnsi="Times New Roman"/>
          <w:sz w:val="24"/>
          <w:szCs w:val="18"/>
        </w:rPr>
        <w:t>tha</w:t>
      </w:r>
      <w:r w:rsidRPr="000C3750">
        <w:rPr>
          <w:rFonts w:ascii="Times New Roman" w:hAnsi="Times New Roman"/>
          <w:sz w:val="24"/>
          <w:szCs w:val="18"/>
          <w:vertAlign w:val="superscript"/>
        </w:rPr>
        <w:t>-1</w:t>
      </w:r>
      <w:r w:rsidRPr="000C3750">
        <w:rPr>
          <w:rFonts w:ascii="Times New Roman" w:hAnsi="Times New Roman"/>
          <w:sz w:val="24"/>
          <w:szCs w:val="18"/>
        </w:rPr>
        <w:t>)</w:t>
      </w:r>
      <w:r w:rsidRPr="000C3750">
        <w:rPr>
          <w:rFonts w:ascii="Times New Roman" w:hAnsi="Times New Roman"/>
          <w:sz w:val="32"/>
          <w:szCs w:val="24"/>
        </w:rPr>
        <w:t xml:space="preserve"> </w:t>
      </w:r>
      <w:r w:rsidRPr="000C3750">
        <w:rPr>
          <w:rFonts w:ascii="Times New Roman" w:hAnsi="Times New Roman"/>
          <w:sz w:val="24"/>
          <w:szCs w:val="24"/>
        </w:rPr>
        <w:t xml:space="preserve">and AGBY (10.56 </w:t>
      </w:r>
      <w:r w:rsidRPr="000C3750">
        <w:rPr>
          <w:rFonts w:ascii="Times New Roman" w:hAnsi="Times New Roman"/>
          <w:sz w:val="24"/>
          <w:szCs w:val="18"/>
        </w:rPr>
        <w:t>tha</w:t>
      </w:r>
      <w:r w:rsidRPr="000C3750">
        <w:rPr>
          <w:rFonts w:ascii="Times New Roman" w:hAnsi="Times New Roman"/>
          <w:sz w:val="24"/>
          <w:szCs w:val="18"/>
          <w:vertAlign w:val="superscript"/>
        </w:rPr>
        <w:t>-1</w:t>
      </w:r>
      <w:r w:rsidRPr="000C3750">
        <w:rPr>
          <w:rFonts w:ascii="Times New Roman" w:hAnsi="Times New Roman"/>
          <w:sz w:val="32"/>
          <w:szCs w:val="24"/>
        </w:rPr>
        <w:t xml:space="preserve">) </w:t>
      </w:r>
      <w:r w:rsidRPr="000C3750">
        <w:rPr>
          <w:rFonts w:ascii="Times New Roman" w:hAnsi="Times New Roman"/>
          <w:sz w:val="24"/>
          <w:szCs w:val="24"/>
        </w:rPr>
        <w:t xml:space="preserve">were produced in Kofele than in Bekoji </w:t>
      </w:r>
      <w:r w:rsidRPr="000C3750">
        <w:rPr>
          <w:rFonts w:ascii="Times New Roman" w:hAnsi="Times New Roman"/>
          <w:b/>
          <w:sz w:val="24"/>
          <w:szCs w:val="24"/>
        </w:rPr>
        <w:t>(Table 4</w:t>
      </w:r>
      <w:r w:rsidRPr="000C3750">
        <w:rPr>
          <w:rFonts w:ascii="Times New Roman" w:hAnsi="Times New Roman"/>
          <w:sz w:val="24"/>
          <w:szCs w:val="24"/>
        </w:rPr>
        <w:t xml:space="preserve">). </w:t>
      </w:r>
    </w:p>
    <w:p w:rsidR="0083580E" w:rsidRPr="000C3750" w:rsidRDefault="00901E5B" w:rsidP="00CA176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In addition to the significant main effects of the treatment factors, P due to the effect of lime interaction was significant (p&lt;0.05) on GY and AGBY of malt barley (</w:t>
      </w:r>
      <w:r>
        <w:rPr>
          <w:rFonts w:ascii="Times New Roman" w:hAnsi="Times New Roman"/>
          <w:b/>
          <w:sz w:val="24"/>
          <w:szCs w:val="24"/>
        </w:rPr>
        <w:t>Figure 1 and Figure 2</w:t>
      </w:r>
      <w:r>
        <w:rPr>
          <w:rFonts w:ascii="Times New Roman" w:hAnsi="Times New Roman"/>
          <w:sz w:val="24"/>
          <w:szCs w:val="24"/>
        </w:rPr>
        <w:t>), which is due to the availability of P, which will increase due to lime application. Consequently, the increasing effect of GY of P was significantly increased when it was applied with lime compared to that without lime and vice versa, indicating a positive or synergistic interaction of P and lime on the GY of malt barley. The highest GY (5</w:t>
      </w:r>
      <w:r>
        <w:rPr>
          <w:rFonts w:ascii="Times New Roman" w:hAnsi="Times New Roman"/>
          <w:sz w:val="24"/>
          <w:szCs w:val="18"/>
        </w:rPr>
        <w:t xml:space="preserve"> tha</w:t>
      </w:r>
      <w:r>
        <w:rPr>
          <w:rFonts w:ascii="Times New Roman" w:hAnsi="Times New Roman"/>
          <w:sz w:val="24"/>
          <w:szCs w:val="18"/>
          <w:vertAlign w:val="superscript"/>
        </w:rPr>
        <w:t>-1</w:t>
      </w:r>
      <w:r>
        <w:rPr>
          <w:rFonts w:ascii="Times New Roman" w:hAnsi="Times New Roman"/>
          <w:sz w:val="24"/>
          <w:szCs w:val="24"/>
        </w:rPr>
        <w:t>) was obtained with treatment involving 30kg P ha</w:t>
      </w:r>
      <w:r>
        <w:rPr>
          <w:rFonts w:ascii="Times New Roman" w:hAnsi="Times New Roman"/>
          <w:sz w:val="24"/>
          <w:szCs w:val="24"/>
          <w:vertAlign w:val="superscript"/>
        </w:rPr>
        <w:t>-1</w:t>
      </w:r>
      <w:r>
        <w:rPr>
          <w:rFonts w:ascii="Times New Roman" w:hAnsi="Times New Roman"/>
          <w:sz w:val="24"/>
          <w:szCs w:val="24"/>
        </w:rPr>
        <w:t>with 3.0 t ha</w:t>
      </w:r>
      <w:r>
        <w:rPr>
          <w:rFonts w:ascii="Times New Roman" w:hAnsi="Times New Roman"/>
          <w:sz w:val="24"/>
          <w:szCs w:val="24"/>
          <w:vertAlign w:val="superscript"/>
        </w:rPr>
        <w:t>-1</w:t>
      </w:r>
      <w:r>
        <w:rPr>
          <w:rFonts w:ascii="Times New Roman" w:hAnsi="Times New Roman"/>
          <w:sz w:val="24"/>
          <w:szCs w:val="24"/>
        </w:rPr>
        <w:t xml:space="preserve"> lime which was statistically on par with that obtained with 20kg P ha</w:t>
      </w:r>
      <w:r>
        <w:rPr>
          <w:rFonts w:ascii="Times New Roman" w:hAnsi="Times New Roman"/>
          <w:sz w:val="24"/>
          <w:szCs w:val="24"/>
          <w:vertAlign w:val="superscript"/>
        </w:rPr>
        <w:t>-1</w:t>
      </w:r>
      <w:r>
        <w:rPr>
          <w:rFonts w:ascii="Times New Roman" w:hAnsi="Times New Roman"/>
          <w:sz w:val="24"/>
          <w:szCs w:val="24"/>
        </w:rPr>
        <w:t xml:space="preserve"> with 1.5t ha</w:t>
      </w:r>
      <w:r>
        <w:rPr>
          <w:rFonts w:ascii="Times New Roman" w:hAnsi="Times New Roman"/>
          <w:sz w:val="24"/>
          <w:szCs w:val="24"/>
          <w:vertAlign w:val="superscript"/>
        </w:rPr>
        <w:t>-1</w:t>
      </w:r>
      <w:r>
        <w:rPr>
          <w:rFonts w:ascii="Times New Roman" w:hAnsi="Times New Roman"/>
          <w:sz w:val="24"/>
          <w:szCs w:val="24"/>
        </w:rPr>
        <w:t xml:space="preserve"> lime indicating that further increase in the application of P or lime or both will no longer significantly increase the GY of malt barley. The current results agree with the findings of several authors (</w:t>
      </w:r>
      <w:proofErr w:type="spellStart"/>
      <w:r>
        <w:rPr>
          <w:rFonts w:ascii="Times New Roman" w:hAnsi="Times New Roman"/>
          <w:sz w:val="24"/>
          <w:szCs w:val="24"/>
        </w:rPr>
        <w:t>Tadesse</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2018; </w:t>
      </w:r>
      <w:proofErr w:type="spellStart"/>
      <w:r>
        <w:rPr>
          <w:rFonts w:ascii="Times New Roman" w:hAnsi="Times New Roman"/>
          <w:sz w:val="24"/>
          <w:szCs w:val="24"/>
        </w:rPr>
        <w:t>Temesgen</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2016; </w:t>
      </w:r>
      <w:proofErr w:type="spellStart"/>
      <w:r>
        <w:rPr>
          <w:rFonts w:ascii="Times New Roman" w:hAnsi="Times New Roman"/>
          <w:sz w:val="24"/>
          <w:szCs w:val="24"/>
        </w:rPr>
        <w:t>Taye</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1993).</w:t>
      </w:r>
    </w:p>
    <w:p w:rsidR="004E15FF" w:rsidRPr="000C3750" w:rsidRDefault="004E15FF" w:rsidP="004E15FF">
      <w:pPr>
        <w:pStyle w:val="ListParagraph"/>
        <w:widowControl w:val="0"/>
        <w:numPr>
          <w:ilvl w:val="1"/>
          <w:numId w:val="16"/>
        </w:numPr>
        <w:autoSpaceDE w:val="0"/>
        <w:autoSpaceDN w:val="0"/>
        <w:adjustRightInd w:val="0"/>
        <w:spacing w:after="0" w:line="360" w:lineRule="auto"/>
        <w:jc w:val="both"/>
        <w:rPr>
          <w:rFonts w:ascii="Times New Roman" w:eastAsiaTheme="minorHAnsi" w:hAnsi="Times New Roman"/>
          <w:sz w:val="24"/>
          <w:szCs w:val="24"/>
        </w:rPr>
      </w:pPr>
      <w:r w:rsidRPr="000C3750">
        <w:rPr>
          <w:rFonts w:ascii="Times New Roman" w:eastAsiaTheme="minorHAnsi" w:hAnsi="Times New Roman"/>
          <w:b/>
          <w:sz w:val="24"/>
          <w:szCs w:val="24"/>
        </w:rPr>
        <w:t xml:space="preserve">The effects of P and lime on </w:t>
      </w:r>
      <w:r w:rsidRPr="000C3750">
        <w:rPr>
          <w:rFonts w:ascii="Times New Roman" w:hAnsi="Times New Roman"/>
          <w:b/>
          <w:sz w:val="24"/>
          <w:szCs w:val="24"/>
        </w:rPr>
        <w:t>thousand-kennels weight</w:t>
      </w:r>
      <w:r w:rsidRPr="000C3750">
        <w:rPr>
          <w:rFonts w:ascii="Times New Roman" w:eastAsiaTheme="minorHAnsi" w:hAnsi="Times New Roman"/>
          <w:sz w:val="24"/>
          <w:szCs w:val="24"/>
        </w:rPr>
        <w:tab/>
      </w:r>
    </w:p>
    <w:p w:rsidR="004E15FF" w:rsidRPr="000C3750" w:rsidRDefault="004E15FF" w:rsidP="004E15FF">
      <w:pPr>
        <w:widowControl w:val="0"/>
        <w:autoSpaceDE w:val="0"/>
        <w:autoSpaceDN w:val="0"/>
        <w:adjustRightInd w:val="0"/>
        <w:spacing w:after="0" w:line="360" w:lineRule="auto"/>
        <w:jc w:val="both"/>
        <w:rPr>
          <w:szCs w:val="24"/>
        </w:rPr>
      </w:pPr>
      <w:r w:rsidRPr="000C3750">
        <w:rPr>
          <w:szCs w:val="24"/>
        </w:rPr>
        <w:t xml:space="preserve">The weight of 1,000 kernels (TKW) of malt was barely significantly </w:t>
      </w:r>
      <w:r w:rsidRPr="000C3750">
        <w:rPr>
          <w:spacing w:val="2"/>
          <w:szCs w:val="24"/>
        </w:rPr>
        <w:t>(</w:t>
      </w:r>
      <w:r w:rsidRPr="000C3750">
        <w:rPr>
          <w:iCs/>
          <w:w w:val="99"/>
          <w:szCs w:val="24"/>
        </w:rPr>
        <w:t>p</w:t>
      </w:r>
      <w:r w:rsidRPr="000C3750">
        <w:rPr>
          <w:szCs w:val="24"/>
        </w:rPr>
        <w:t xml:space="preserve">&lt;0.05) affected only by the main effect of location </w:t>
      </w:r>
      <w:r w:rsidRPr="000C3750">
        <w:rPr>
          <w:b/>
          <w:szCs w:val="24"/>
        </w:rPr>
        <w:t>(Table 5).</w:t>
      </w:r>
      <w:r w:rsidRPr="000C3750">
        <w:rPr>
          <w:szCs w:val="24"/>
        </w:rPr>
        <w:t xml:space="preserve"> Significantly higher TKW (</w:t>
      </w:r>
      <w:smartTag w:uri="urn:schemas-microsoft-com:office:smarttags" w:element="metricconverter">
        <w:smartTagPr>
          <w:attr w:name="ProductID" w:val="44.4 g"/>
        </w:smartTagPr>
        <w:r>
          <w:rPr>
            <w:szCs w:val="24"/>
          </w:rPr>
          <w:t>44.4g</w:t>
        </w:r>
      </w:smartTag>
      <w:r w:rsidRPr="000C3750">
        <w:rPr>
          <w:szCs w:val="24"/>
        </w:rPr>
        <w:t>) was recorded when the crop was grown at Bekoji than at Kofele (</w:t>
      </w:r>
      <w:smartTag w:uri="urn:schemas-microsoft-com:office:smarttags" w:element="metricconverter">
        <w:smartTagPr>
          <w:attr w:name="ProductID" w:val="36.5 g"/>
        </w:smartTagPr>
        <w:r>
          <w:rPr>
            <w:szCs w:val="24"/>
          </w:rPr>
          <w:t>36.5 g</w:t>
        </w:r>
      </w:smartTag>
      <w:r w:rsidRPr="000C3750">
        <w:rPr>
          <w:szCs w:val="24"/>
        </w:rPr>
        <w:t xml:space="preserve">) (Table 5). According to the Ethiopian quality standard, the acceptable grain size (TKW) for raw barley is in the range of 25 to </w:t>
      </w:r>
      <w:smartTag w:uri="urn:schemas-microsoft-com:office:smarttags" w:element="metricconverter">
        <w:smartTagPr>
          <w:attr w:name="ProductID" w:val="35 g"/>
        </w:smartTagPr>
        <w:r>
          <w:rPr>
            <w:szCs w:val="24"/>
          </w:rPr>
          <w:t>35 g</w:t>
        </w:r>
      </w:smartTag>
      <w:r w:rsidRPr="000C3750">
        <w:rPr>
          <w:szCs w:val="24"/>
        </w:rPr>
        <w:t xml:space="preserve"> (EQSA, 2006). The results of the present experiment exhibited an acceptable thousand-kernel weight at all P and lime rates. Based on this result, </w:t>
      </w:r>
      <w:proofErr w:type="spellStart"/>
      <w:r w:rsidRPr="000C3750">
        <w:rPr>
          <w:szCs w:val="24"/>
        </w:rPr>
        <w:t>Biadge</w:t>
      </w:r>
      <w:proofErr w:type="spellEnd"/>
      <w:r w:rsidRPr="000C3750">
        <w:rPr>
          <w:szCs w:val="24"/>
        </w:rPr>
        <w:t xml:space="preserve"> (2016) obtained significant differences (p&lt;0.05) between the TKW locations where Bekoji produced a greater TKW (</w:t>
      </w:r>
      <w:smartTag w:uri="urn:schemas-microsoft-com:office:smarttags" w:element="metricconverter">
        <w:smartTagPr>
          <w:attr w:name="ProductID" w:val="51.6 g"/>
        </w:smartTagPr>
        <w:r>
          <w:rPr>
            <w:szCs w:val="24"/>
          </w:rPr>
          <w:t>51.6 g</w:t>
        </w:r>
      </w:smartTag>
      <w:r w:rsidRPr="000C3750">
        <w:rPr>
          <w:szCs w:val="24"/>
        </w:rPr>
        <w:t xml:space="preserve">) than </w:t>
      </w:r>
      <w:proofErr w:type="spellStart"/>
      <w:r w:rsidRPr="000C3750">
        <w:rPr>
          <w:szCs w:val="24"/>
        </w:rPr>
        <w:t>Ankober</w:t>
      </w:r>
      <w:proofErr w:type="spellEnd"/>
      <w:r w:rsidRPr="000C3750">
        <w:rPr>
          <w:szCs w:val="24"/>
        </w:rPr>
        <w:t xml:space="preserve"> (</w:t>
      </w:r>
      <w:smartTag w:uri="urn:schemas-microsoft-com:office:smarttags" w:element="metricconverter">
        <w:smartTagPr>
          <w:attr w:name="ProductID" w:val="48.0 g"/>
        </w:smartTagPr>
        <w:r>
          <w:rPr>
            <w:szCs w:val="24"/>
          </w:rPr>
          <w:t>48.0 g</w:t>
        </w:r>
      </w:smartTag>
      <w:r w:rsidRPr="000C3750">
        <w:rPr>
          <w:szCs w:val="24"/>
        </w:rPr>
        <w:t xml:space="preserve">) and </w:t>
      </w:r>
      <w:proofErr w:type="spellStart"/>
      <w:r w:rsidRPr="000C3750">
        <w:rPr>
          <w:szCs w:val="24"/>
        </w:rPr>
        <w:t>Ankober</w:t>
      </w:r>
      <w:proofErr w:type="spellEnd"/>
      <w:r w:rsidRPr="000C3750">
        <w:rPr>
          <w:szCs w:val="24"/>
        </w:rPr>
        <w:t xml:space="preserve"> revealed a greater TKW than </w:t>
      </w:r>
      <w:proofErr w:type="spellStart"/>
      <w:r w:rsidRPr="000C3750">
        <w:rPr>
          <w:szCs w:val="24"/>
        </w:rPr>
        <w:t>Holeta</w:t>
      </w:r>
      <w:proofErr w:type="spellEnd"/>
      <w:r w:rsidRPr="000C3750">
        <w:rPr>
          <w:szCs w:val="24"/>
        </w:rPr>
        <w:t xml:space="preserve"> (44.17 g). </w:t>
      </w:r>
      <w:proofErr w:type="spellStart"/>
      <w:r w:rsidRPr="000C3750">
        <w:rPr>
          <w:szCs w:val="24"/>
        </w:rPr>
        <w:t>Shiferaw</w:t>
      </w:r>
      <w:proofErr w:type="spellEnd"/>
      <w:r w:rsidRPr="000C3750">
        <w:rPr>
          <w:szCs w:val="24"/>
        </w:rPr>
        <w:t xml:space="preserve"> and </w:t>
      </w:r>
      <w:proofErr w:type="spellStart"/>
      <w:r w:rsidRPr="000C3750">
        <w:rPr>
          <w:szCs w:val="24"/>
        </w:rPr>
        <w:t>Anteneh</w:t>
      </w:r>
      <w:proofErr w:type="spellEnd"/>
      <w:r w:rsidRPr="000C3750">
        <w:rPr>
          <w:szCs w:val="24"/>
        </w:rPr>
        <w:t xml:space="preserve"> (2014) also reported that the interaction of P and lime in TKW had a significant effect on thousand grain weight. This is in line with the result obtained by </w:t>
      </w:r>
      <w:proofErr w:type="spellStart"/>
      <w:r w:rsidRPr="000C3750">
        <w:rPr>
          <w:szCs w:val="24"/>
        </w:rPr>
        <w:t>Temesgen</w:t>
      </w:r>
      <w:proofErr w:type="spellEnd"/>
      <w:r w:rsidRPr="000C3750">
        <w:rPr>
          <w:szCs w:val="24"/>
        </w:rPr>
        <w:t xml:space="preserve"> (2014) that all lime treatments had higher mean TKW values than without lime.</w:t>
      </w:r>
    </w:p>
    <w:p w:rsidR="00DC5818" w:rsidRPr="000C3750" w:rsidRDefault="008C1385" w:rsidP="00901E5B">
      <w:pPr>
        <w:pStyle w:val="ListParagraph"/>
        <w:spacing w:before="240" w:after="240" w:line="360" w:lineRule="auto"/>
        <w:ind w:left="0"/>
        <w:jc w:val="both"/>
        <w:rPr>
          <w:rFonts w:ascii="Times New Roman" w:hAnsi="Times New Roman"/>
          <w:sz w:val="24"/>
          <w:szCs w:val="24"/>
        </w:rPr>
      </w:pPr>
      <w:r>
        <w:rPr>
          <w:noProof/>
        </w:rPr>
        <w:lastRenderedPageBreak/>
        <w:drawing>
          <wp:inline distT="0" distB="0" distL="0" distR="0" wp14:anchorId="0E242D91" wp14:editId="1CF4D59D">
            <wp:extent cx="5841240" cy="2845558"/>
            <wp:effectExtent l="0" t="0" r="7620" b="0"/>
            <wp:docPr id="4" name="Picture 4" descr="Presentation1"/>
            <wp:cNvGraphicFramePr/>
            <a:graphic xmlns:a="http://schemas.openxmlformats.org/drawingml/2006/main">
              <a:graphicData uri="http://schemas.openxmlformats.org/drawingml/2006/picture">
                <pic:pic xmlns:pic="http://schemas.openxmlformats.org/drawingml/2006/picture">
                  <pic:nvPicPr>
                    <pic:cNvPr id="4" name="Picture 4" descr="Presentation1"/>
                    <pic:cNvPicPr/>
                  </pic:nvPicPr>
                  <pic:blipFill>
                    <a:blip r:embed="rId10"/>
                    <a:srcRect/>
                    <a:stretch>
                      <a:fillRect/>
                    </a:stretch>
                  </pic:blipFill>
                  <pic:spPr bwMode="auto">
                    <a:xfrm>
                      <a:off x="0" y="0"/>
                      <a:ext cx="5844697" cy="2847242"/>
                    </a:xfrm>
                    <a:prstGeom prst="rect">
                      <a:avLst/>
                    </a:prstGeom>
                    <a:noFill/>
                    <a:ln w="9525">
                      <a:noFill/>
                      <a:miter lim="800000"/>
                      <a:headEnd/>
                      <a:tailEnd/>
                    </a:ln>
                  </pic:spPr>
                </pic:pic>
              </a:graphicData>
            </a:graphic>
          </wp:inline>
        </w:drawing>
      </w:r>
    </w:p>
    <w:p w:rsidR="00FE2389" w:rsidRPr="000C3750" w:rsidRDefault="00FE2389" w:rsidP="00FE2389">
      <w:pPr>
        <w:rPr>
          <w:i/>
          <w:sz w:val="20"/>
          <w:szCs w:val="20"/>
        </w:rPr>
      </w:pPr>
      <w:r w:rsidRPr="000C3750">
        <w:rPr>
          <w:i/>
          <w:sz w:val="20"/>
          <w:szCs w:val="20"/>
        </w:rPr>
        <w:t>*Bars followed by the same letter (s) are not statistically different from each other at the probability level of 0.05, L0=0tha</w:t>
      </w:r>
      <w:r w:rsidRPr="000C3750">
        <w:rPr>
          <w:i/>
          <w:sz w:val="20"/>
          <w:szCs w:val="20"/>
          <w:vertAlign w:val="superscript"/>
        </w:rPr>
        <w:t xml:space="preserve">-1 </w:t>
      </w:r>
      <w:r w:rsidRPr="000C3750">
        <w:rPr>
          <w:i/>
          <w:sz w:val="20"/>
          <w:szCs w:val="20"/>
        </w:rPr>
        <w:t>lime, L1=1 tha</w:t>
      </w:r>
      <w:r w:rsidRPr="000C3750">
        <w:rPr>
          <w:i/>
          <w:sz w:val="20"/>
          <w:szCs w:val="20"/>
          <w:vertAlign w:val="superscript"/>
        </w:rPr>
        <w:t xml:space="preserve">-1 </w:t>
      </w:r>
      <w:r w:rsidRPr="000C3750">
        <w:rPr>
          <w:i/>
          <w:sz w:val="20"/>
          <w:szCs w:val="20"/>
        </w:rPr>
        <w:t>lime.5, L2=3 tha</w:t>
      </w:r>
      <w:r w:rsidRPr="000C3750">
        <w:rPr>
          <w:i/>
          <w:sz w:val="20"/>
          <w:szCs w:val="20"/>
          <w:vertAlign w:val="superscript"/>
        </w:rPr>
        <w:t xml:space="preserve">-1 </w:t>
      </w:r>
      <w:r w:rsidRPr="000C3750">
        <w:rPr>
          <w:i/>
          <w:sz w:val="20"/>
          <w:szCs w:val="20"/>
        </w:rPr>
        <w:t>lime, P0=0kg P ha</w:t>
      </w:r>
      <w:r w:rsidRPr="000C3750">
        <w:rPr>
          <w:i/>
          <w:sz w:val="20"/>
          <w:szCs w:val="20"/>
          <w:vertAlign w:val="superscript"/>
        </w:rPr>
        <w:t>-1</w:t>
      </w:r>
      <w:r w:rsidRPr="000C3750">
        <w:rPr>
          <w:i/>
          <w:sz w:val="20"/>
          <w:szCs w:val="20"/>
        </w:rPr>
        <w:t>, P1=10 P ha</w:t>
      </w:r>
      <w:r w:rsidRPr="000C3750">
        <w:rPr>
          <w:i/>
          <w:sz w:val="20"/>
          <w:szCs w:val="20"/>
          <w:vertAlign w:val="superscript"/>
        </w:rPr>
        <w:t>-1</w:t>
      </w:r>
      <w:r w:rsidRPr="000C3750">
        <w:rPr>
          <w:i/>
          <w:sz w:val="20"/>
          <w:szCs w:val="20"/>
        </w:rPr>
        <w:t>, P2=20 P ha</w:t>
      </w:r>
      <w:r w:rsidRPr="000C3750">
        <w:rPr>
          <w:i/>
          <w:sz w:val="20"/>
          <w:szCs w:val="20"/>
          <w:vertAlign w:val="superscript"/>
        </w:rPr>
        <w:t>-1</w:t>
      </w:r>
      <w:r w:rsidRPr="000C3750">
        <w:rPr>
          <w:i/>
          <w:sz w:val="20"/>
          <w:szCs w:val="20"/>
        </w:rPr>
        <w:t>, P3=30 P ha</w:t>
      </w:r>
      <w:r w:rsidRPr="000C3750">
        <w:rPr>
          <w:i/>
          <w:sz w:val="20"/>
          <w:szCs w:val="20"/>
          <w:vertAlign w:val="superscript"/>
        </w:rPr>
        <w:t>-1</w:t>
      </w:r>
    </w:p>
    <w:p w:rsidR="00901E5B" w:rsidRPr="000C3750" w:rsidRDefault="009747C3" w:rsidP="00901E5B">
      <w:pPr>
        <w:pStyle w:val="ListParagraph"/>
        <w:rPr>
          <w:rFonts w:ascii="Times New Roman" w:hAnsi="Times New Roman"/>
          <w:b/>
          <w:sz w:val="24"/>
          <w:szCs w:val="24"/>
        </w:rPr>
      </w:pPr>
      <w:r w:rsidRPr="000C3750">
        <w:rPr>
          <w:rFonts w:ascii="Times New Roman" w:hAnsi="Times New Roman"/>
          <w:b/>
          <w:sz w:val="24"/>
          <w:szCs w:val="24"/>
        </w:rPr>
        <w:t xml:space="preserve">Figure 1: Effect of phosphorus by lime interaction on the grain yield of malt barley in the Bekoji and Kofele locations </w:t>
      </w:r>
    </w:p>
    <w:p w:rsidR="00DC5818" w:rsidRPr="000C3750" w:rsidRDefault="008C1385" w:rsidP="00901E5B">
      <w:pPr>
        <w:pStyle w:val="ListParagraph"/>
        <w:spacing w:after="0" w:line="360" w:lineRule="auto"/>
        <w:ind w:left="0"/>
        <w:jc w:val="both"/>
        <w:rPr>
          <w:rFonts w:ascii="Times New Roman" w:hAnsi="Times New Roman"/>
          <w:sz w:val="24"/>
          <w:szCs w:val="24"/>
        </w:rPr>
      </w:pPr>
      <w:r>
        <w:rPr>
          <w:noProof/>
        </w:rPr>
        <w:drawing>
          <wp:inline distT="0" distB="0" distL="0" distR="0" wp14:anchorId="77B3BBE0" wp14:editId="453B8A65">
            <wp:extent cx="5049672" cy="2347415"/>
            <wp:effectExtent l="0" t="0" r="1778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2389" w:rsidRPr="000C3750" w:rsidRDefault="00FE2389" w:rsidP="00FE2389">
      <w:pPr>
        <w:rPr>
          <w:i/>
          <w:sz w:val="20"/>
          <w:szCs w:val="20"/>
        </w:rPr>
      </w:pPr>
      <w:r w:rsidRPr="000C3750">
        <w:rPr>
          <w:i/>
          <w:sz w:val="20"/>
          <w:szCs w:val="20"/>
        </w:rPr>
        <w:t>*Bars followed by the same letter (s) are not statistically different from each other at the probability level of 0.05, L0=0tha</w:t>
      </w:r>
      <w:r w:rsidRPr="000C3750">
        <w:rPr>
          <w:i/>
          <w:sz w:val="20"/>
          <w:szCs w:val="20"/>
          <w:vertAlign w:val="superscript"/>
        </w:rPr>
        <w:t xml:space="preserve">-1 </w:t>
      </w:r>
      <w:r w:rsidRPr="000C3750">
        <w:rPr>
          <w:i/>
          <w:sz w:val="20"/>
          <w:szCs w:val="20"/>
        </w:rPr>
        <w:t>lime, L1=1 tha</w:t>
      </w:r>
      <w:r w:rsidRPr="000C3750">
        <w:rPr>
          <w:i/>
          <w:sz w:val="20"/>
          <w:szCs w:val="20"/>
          <w:vertAlign w:val="superscript"/>
        </w:rPr>
        <w:t xml:space="preserve">-1 </w:t>
      </w:r>
      <w:r w:rsidRPr="000C3750">
        <w:rPr>
          <w:i/>
          <w:sz w:val="20"/>
          <w:szCs w:val="20"/>
        </w:rPr>
        <w:t>lime.5, L2=3 tha</w:t>
      </w:r>
      <w:r w:rsidRPr="000C3750">
        <w:rPr>
          <w:i/>
          <w:sz w:val="20"/>
          <w:szCs w:val="20"/>
          <w:vertAlign w:val="superscript"/>
        </w:rPr>
        <w:t xml:space="preserve">-1 </w:t>
      </w:r>
      <w:r w:rsidRPr="000C3750">
        <w:rPr>
          <w:i/>
          <w:sz w:val="20"/>
          <w:szCs w:val="20"/>
        </w:rPr>
        <w:t>lime, P0=0kg P ha</w:t>
      </w:r>
      <w:r w:rsidRPr="000C3750">
        <w:rPr>
          <w:i/>
          <w:sz w:val="20"/>
          <w:szCs w:val="20"/>
          <w:vertAlign w:val="superscript"/>
        </w:rPr>
        <w:t>-1</w:t>
      </w:r>
      <w:r w:rsidRPr="000C3750">
        <w:rPr>
          <w:i/>
          <w:sz w:val="20"/>
          <w:szCs w:val="20"/>
        </w:rPr>
        <w:t>, P1=10 P ha</w:t>
      </w:r>
      <w:r w:rsidRPr="000C3750">
        <w:rPr>
          <w:i/>
          <w:sz w:val="20"/>
          <w:szCs w:val="20"/>
          <w:vertAlign w:val="superscript"/>
        </w:rPr>
        <w:t>-1</w:t>
      </w:r>
      <w:r w:rsidRPr="000C3750">
        <w:rPr>
          <w:i/>
          <w:sz w:val="20"/>
          <w:szCs w:val="20"/>
        </w:rPr>
        <w:t>, P2=20 P ha</w:t>
      </w:r>
      <w:r w:rsidRPr="000C3750">
        <w:rPr>
          <w:i/>
          <w:sz w:val="20"/>
          <w:szCs w:val="20"/>
          <w:vertAlign w:val="superscript"/>
        </w:rPr>
        <w:t>-1</w:t>
      </w:r>
      <w:r w:rsidRPr="000C3750">
        <w:rPr>
          <w:i/>
          <w:sz w:val="20"/>
          <w:szCs w:val="20"/>
        </w:rPr>
        <w:t>, P3=30 P ha</w:t>
      </w:r>
      <w:r w:rsidRPr="000C3750">
        <w:rPr>
          <w:i/>
          <w:sz w:val="20"/>
          <w:szCs w:val="20"/>
          <w:vertAlign w:val="superscript"/>
        </w:rPr>
        <w:t>-1</w:t>
      </w:r>
    </w:p>
    <w:p w:rsidR="00901E5B" w:rsidRPr="000C3750" w:rsidRDefault="009747C3" w:rsidP="00901E5B">
      <w:pPr>
        <w:pStyle w:val="ListParagraph"/>
        <w:ind w:left="0"/>
        <w:rPr>
          <w:rFonts w:ascii="Times New Roman" w:hAnsi="Times New Roman"/>
          <w:b/>
        </w:rPr>
      </w:pPr>
      <w:r w:rsidRPr="000C3750">
        <w:rPr>
          <w:rFonts w:ascii="Times New Roman" w:hAnsi="Times New Roman"/>
          <w:b/>
        </w:rPr>
        <w:t>Figure 2: The phosphate by lime interaction affects the above-ground biomass yield of malt barley over Bekoji and Kofele.</w:t>
      </w:r>
    </w:p>
    <w:p w:rsidR="00901E5B" w:rsidRPr="000C3750" w:rsidRDefault="00901E5B" w:rsidP="00901E5B">
      <w:pPr>
        <w:pStyle w:val="ListParagraph"/>
        <w:spacing w:after="0" w:line="360" w:lineRule="auto"/>
        <w:ind w:left="0"/>
        <w:jc w:val="both"/>
        <w:rPr>
          <w:rFonts w:ascii="Times New Roman" w:hAnsi="Times New Roman"/>
        </w:rPr>
      </w:pPr>
      <w:r w:rsidRPr="000C3750">
        <w:rPr>
          <w:rFonts w:ascii="Times New Roman" w:hAnsi="Times New Roman"/>
        </w:rPr>
        <w:t>Lime (L) due to location interaction effects was also significant (p&lt;0.05) on GY and AGBY (</w:t>
      </w:r>
      <w:r w:rsidR="00C9262B" w:rsidRPr="000C3750">
        <w:rPr>
          <w:rFonts w:ascii="Times New Roman" w:hAnsi="Times New Roman"/>
          <w:b/>
        </w:rPr>
        <w:t>Figure 3 and Figure 4).</w:t>
      </w:r>
      <w:r w:rsidRPr="000C3750">
        <w:rPr>
          <w:rFonts w:ascii="Times New Roman" w:hAnsi="Times New Roman"/>
        </w:rPr>
        <w:t xml:space="preserve"> The application of lime (3tha</w:t>
      </w:r>
      <w:r w:rsidR="00313F69" w:rsidRPr="000C3750">
        <w:rPr>
          <w:rFonts w:ascii="Times New Roman" w:hAnsi="Times New Roman"/>
          <w:vertAlign w:val="superscript"/>
        </w:rPr>
        <w:t>-1</w:t>
      </w:r>
      <w:r w:rsidR="00313F69" w:rsidRPr="000C3750">
        <w:rPr>
          <w:rFonts w:ascii="Times New Roman" w:hAnsi="Times New Roman"/>
        </w:rPr>
        <w:t xml:space="preserve">) has significantly increased GY and AGBY at both locations relative to the </w:t>
      </w:r>
      <w:proofErr w:type="spellStart"/>
      <w:r w:rsidRPr="000C3750">
        <w:rPr>
          <w:rFonts w:ascii="Times New Roman" w:hAnsi="Times New Roman"/>
        </w:rPr>
        <w:t>unlimed</w:t>
      </w:r>
      <w:proofErr w:type="spellEnd"/>
      <w:r w:rsidRPr="000C3750">
        <w:rPr>
          <w:rFonts w:ascii="Times New Roman" w:hAnsi="Times New Roman"/>
        </w:rPr>
        <w:t xml:space="preserve"> control treatment (</w:t>
      </w:r>
      <w:r w:rsidR="00C9262B" w:rsidRPr="000C3750">
        <w:rPr>
          <w:rFonts w:ascii="Times New Roman" w:hAnsi="Times New Roman"/>
          <w:b/>
        </w:rPr>
        <w:t>Figure 3 and Figure 4</w:t>
      </w:r>
      <w:r w:rsidRPr="000C3750">
        <w:rPr>
          <w:rFonts w:ascii="Times New Roman" w:hAnsi="Times New Roman"/>
        </w:rPr>
        <w:t>).  However, a significantly higher (4.49 tha</w:t>
      </w:r>
      <w:r w:rsidR="00313F69" w:rsidRPr="000C3750">
        <w:rPr>
          <w:rFonts w:ascii="Times New Roman" w:hAnsi="Times New Roman"/>
          <w:vertAlign w:val="superscript"/>
        </w:rPr>
        <w:t>-1</w:t>
      </w:r>
      <w:r w:rsidR="00313F69" w:rsidRPr="000C3750">
        <w:rPr>
          <w:rFonts w:ascii="Times New Roman" w:hAnsi="Times New Roman"/>
        </w:rPr>
        <w:t xml:space="preserve">) GY of malt barley was obtained in Kofele than in the Bekoji location. </w:t>
      </w:r>
    </w:p>
    <w:p w:rsidR="00901E5B" w:rsidRPr="000C3750" w:rsidRDefault="005B412B" w:rsidP="00901E5B">
      <w:pPr>
        <w:pStyle w:val="ListParagraph"/>
        <w:jc w:val="center"/>
        <w:rPr>
          <w:rFonts w:ascii="Times New Roman" w:hAnsi="Times New Roman"/>
        </w:rPr>
      </w:pPr>
      <w:r>
        <w:rPr>
          <w:rFonts w:ascii="Times New Roman" w:hAnsi="Times New Roman"/>
          <w:noProof/>
        </w:rPr>
        <w:lastRenderedPageBreak/>
        <w:drawing>
          <wp:anchor distT="0" distB="0" distL="114300" distR="114300" simplePos="0" relativeHeight="251660288" behindDoc="0" locked="0" layoutInCell="1" allowOverlap="1" wp14:anchorId="18390E80" wp14:editId="5FEDF4C1">
            <wp:simplePos x="0" y="0"/>
            <wp:positionH relativeFrom="column">
              <wp:posOffset>119380</wp:posOffset>
            </wp:positionH>
            <wp:positionV relativeFrom="paragraph">
              <wp:posOffset>40640</wp:posOffset>
            </wp:positionV>
            <wp:extent cx="4534535" cy="1994535"/>
            <wp:effectExtent l="0" t="0" r="18415" b="24765"/>
            <wp:wrapSquare wrapText="left"/>
            <wp:docPr id="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b/>
        </w:rPr>
      </w:pPr>
    </w:p>
    <w:p w:rsidR="005B412B" w:rsidRPr="000C3750" w:rsidRDefault="005B412B" w:rsidP="00901E5B">
      <w:pPr>
        <w:pStyle w:val="ListParagraph"/>
        <w:rPr>
          <w:rFonts w:ascii="Times New Roman" w:hAnsi="Times New Roman"/>
        </w:rPr>
      </w:pPr>
    </w:p>
    <w:p w:rsidR="005B412B" w:rsidRPr="000C3750" w:rsidRDefault="005B412B" w:rsidP="00901E5B">
      <w:pPr>
        <w:pStyle w:val="ListParagraph"/>
        <w:rPr>
          <w:rFonts w:ascii="Times New Roman" w:hAnsi="Times New Roman"/>
        </w:rPr>
      </w:pPr>
    </w:p>
    <w:p w:rsidR="00517D8B" w:rsidRPr="000C3750" w:rsidRDefault="00517D8B" w:rsidP="00C9262B">
      <w:pPr>
        <w:rPr>
          <w:i/>
          <w:sz w:val="20"/>
          <w:szCs w:val="20"/>
        </w:rPr>
      </w:pPr>
      <w:r>
        <w:rPr>
          <w:i/>
          <w:sz w:val="20"/>
          <w:szCs w:val="20"/>
        </w:rPr>
        <w:t>*Bars followed by the same letter (s) are not statistically different from each other at the probability level of 0.05.</w:t>
      </w:r>
    </w:p>
    <w:p w:rsidR="00901E5B" w:rsidRPr="000C3750" w:rsidRDefault="009747C3" w:rsidP="00901E5B">
      <w:pPr>
        <w:pStyle w:val="ListParagraph"/>
        <w:rPr>
          <w:rFonts w:ascii="Times New Roman" w:hAnsi="Times New Roman"/>
          <w:b/>
        </w:rPr>
      </w:pPr>
      <w:proofErr w:type="gramStart"/>
      <w:r w:rsidRPr="000C3750">
        <w:rPr>
          <w:rFonts w:ascii="Times New Roman" w:hAnsi="Times New Roman"/>
          <w:b/>
        </w:rPr>
        <w:t>Figure 3.</w:t>
      </w:r>
      <w:proofErr w:type="gramEnd"/>
      <w:r w:rsidRPr="000C3750">
        <w:rPr>
          <w:rFonts w:ascii="Times New Roman" w:hAnsi="Times New Roman"/>
          <w:b/>
        </w:rPr>
        <w:t xml:space="preserve"> Effect of lime interaction and location on the grain yield (t ha</w:t>
      </w:r>
      <w:r w:rsidRPr="000C3750">
        <w:rPr>
          <w:rFonts w:ascii="Times New Roman" w:hAnsi="Times New Roman"/>
          <w:b/>
          <w:vertAlign w:val="superscript"/>
        </w:rPr>
        <w:t>-1</w:t>
      </w:r>
      <w:r w:rsidR="00C9262B" w:rsidRPr="000C3750">
        <w:rPr>
          <w:rFonts w:ascii="Times New Roman" w:hAnsi="Times New Roman"/>
          <w:b/>
        </w:rPr>
        <w:t>) of malt barley</w:t>
      </w:r>
    </w:p>
    <w:p w:rsidR="00901E5B" w:rsidRPr="000C3750" w:rsidRDefault="00901E5B" w:rsidP="00901E5B">
      <w:pPr>
        <w:pStyle w:val="ListParagraph"/>
        <w:jc w:val="center"/>
        <w:rPr>
          <w:rFonts w:ascii="Times New Roman" w:hAnsi="Times New Roman"/>
        </w:rPr>
      </w:pPr>
      <w:r>
        <w:rPr>
          <w:rFonts w:ascii="Times New Roman" w:hAnsi="Times New Roman"/>
          <w:noProof/>
        </w:rPr>
        <w:drawing>
          <wp:inline distT="0" distB="0" distL="0" distR="0" wp14:anchorId="5DCA72BF" wp14:editId="3AA0EFF7">
            <wp:extent cx="3422509" cy="2618509"/>
            <wp:effectExtent l="0" t="0" r="26035" b="10795"/>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A88" w:rsidRPr="000C3750" w:rsidRDefault="00950EB8" w:rsidP="00950EB8">
      <w:pPr>
        <w:rPr>
          <w:i/>
          <w:sz w:val="20"/>
          <w:szCs w:val="20"/>
        </w:rPr>
      </w:pPr>
      <w:r w:rsidRPr="000C3750">
        <w:rPr>
          <w:i/>
          <w:sz w:val="20"/>
          <w:szCs w:val="20"/>
        </w:rPr>
        <w:t>*Bars followed by the same letter (s) are not statistically different from each other at 0.05 probability level; L0=0tha</w:t>
      </w:r>
      <w:r w:rsidR="00517D8B" w:rsidRPr="000C3750">
        <w:rPr>
          <w:i/>
          <w:sz w:val="20"/>
          <w:szCs w:val="20"/>
          <w:vertAlign w:val="superscript"/>
        </w:rPr>
        <w:t xml:space="preserve">-1 </w:t>
      </w:r>
      <w:r w:rsidR="00517D8B" w:rsidRPr="000C3750">
        <w:rPr>
          <w:i/>
          <w:sz w:val="20"/>
          <w:szCs w:val="20"/>
        </w:rPr>
        <w:t>lime, L1=1 tha</w:t>
      </w:r>
      <w:r w:rsidR="00517D8B" w:rsidRPr="000C3750">
        <w:rPr>
          <w:i/>
          <w:sz w:val="20"/>
          <w:szCs w:val="20"/>
          <w:vertAlign w:val="superscript"/>
        </w:rPr>
        <w:t xml:space="preserve">-1 </w:t>
      </w:r>
      <w:r w:rsidR="00517D8B" w:rsidRPr="000C3750">
        <w:rPr>
          <w:i/>
          <w:sz w:val="20"/>
          <w:szCs w:val="20"/>
        </w:rPr>
        <w:t>lime.5, L2=3 tha</w:t>
      </w:r>
      <w:r w:rsidR="00517D8B" w:rsidRPr="000C3750">
        <w:rPr>
          <w:i/>
          <w:sz w:val="20"/>
          <w:szCs w:val="20"/>
          <w:vertAlign w:val="superscript"/>
        </w:rPr>
        <w:t xml:space="preserve">-1 </w:t>
      </w:r>
      <w:r w:rsidR="00517D8B" w:rsidRPr="000C3750">
        <w:rPr>
          <w:i/>
          <w:sz w:val="20"/>
          <w:szCs w:val="20"/>
        </w:rPr>
        <w:t xml:space="preserve">lime, </w:t>
      </w:r>
    </w:p>
    <w:p w:rsidR="00901E5B" w:rsidRPr="000C3750" w:rsidRDefault="00067D5E" w:rsidP="00CA176A">
      <w:pPr>
        <w:rPr>
          <w:b/>
          <w:szCs w:val="24"/>
        </w:rPr>
      </w:pPr>
      <w:r w:rsidRPr="000C3750">
        <w:rPr>
          <w:b/>
          <w:szCs w:val="24"/>
        </w:rPr>
        <w:t>Figure 4: Effect of the lime-location interaction on the aboveground biomass yield (t ha</w:t>
      </w:r>
      <w:r w:rsidR="00901E5B" w:rsidRPr="000C3750">
        <w:rPr>
          <w:b/>
          <w:szCs w:val="24"/>
          <w:vertAlign w:val="superscript"/>
        </w:rPr>
        <w:t>-1</w:t>
      </w:r>
      <w:r w:rsidR="00CA176A" w:rsidRPr="000C3750">
        <w:rPr>
          <w:b/>
          <w:szCs w:val="24"/>
        </w:rPr>
        <w:t>) of malt barley.</w:t>
      </w:r>
    </w:p>
    <w:p w:rsidR="009D645F" w:rsidRPr="000C3750" w:rsidRDefault="009D645F" w:rsidP="009D645F">
      <w:pPr>
        <w:pStyle w:val="ListParagraph"/>
        <w:numPr>
          <w:ilvl w:val="1"/>
          <w:numId w:val="16"/>
        </w:numPr>
        <w:spacing w:after="0" w:line="360" w:lineRule="auto"/>
        <w:rPr>
          <w:rFonts w:ascii="Times New Roman" w:eastAsiaTheme="minorHAnsi" w:hAnsi="Times New Roman"/>
          <w:b/>
          <w:sz w:val="24"/>
          <w:szCs w:val="24"/>
        </w:rPr>
      </w:pPr>
      <w:r w:rsidRPr="000C3750">
        <w:rPr>
          <w:rFonts w:ascii="Times New Roman" w:eastAsiaTheme="minorHAnsi" w:hAnsi="Times New Roman"/>
          <w:b/>
          <w:sz w:val="24"/>
          <w:szCs w:val="24"/>
        </w:rPr>
        <w:t>Grain quality parameters</w:t>
      </w:r>
    </w:p>
    <w:p w:rsidR="009D645F" w:rsidRPr="000C3750" w:rsidRDefault="009D645F" w:rsidP="009D645F">
      <w:pPr>
        <w:pStyle w:val="ListParagraph"/>
        <w:numPr>
          <w:ilvl w:val="2"/>
          <w:numId w:val="16"/>
        </w:numPr>
        <w:spacing w:after="0" w:line="360" w:lineRule="auto"/>
        <w:jc w:val="both"/>
        <w:rPr>
          <w:rFonts w:ascii="Times New Roman" w:eastAsia="Times New Roman" w:hAnsi="Times New Roman"/>
          <w:b/>
          <w:bCs/>
          <w:sz w:val="24"/>
        </w:rPr>
      </w:pPr>
      <w:r w:rsidRPr="000C3750">
        <w:rPr>
          <w:rFonts w:ascii="Times New Roman" w:hAnsi="Times New Roman"/>
          <w:b/>
          <w:sz w:val="24"/>
        </w:rPr>
        <w:t>Grain size (sieve size)</w:t>
      </w:r>
    </w:p>
    <w:p w:rsidR="009D645F" w:rsidRPr="000C3750" w:rsidRDefault="009D645F" w:rsidP="009D645F">
      <w:pPr>
        <w:widowControl w:val="0"/>
        <w:autoSpaceDE w:val="0"/>
        <w:autoSpaceDN w:val="0"/>
        <w:adjustRightInd w:val="0"/>
        <w:spacing w:after="0" w:line="360" w:lineRule="auto"/>
        <w:jc w:val="both"/>
        <w:rPr>
          <w:rFonts w:eastAsia="Times New Roman"/>
          <w:bCs/>
          <w:szCs w:val="24"/>
        </w:rPr>
      </w:pPr>
      <w:r w:rsidRPr="000C3750">
        <w:rPr>
          <w:rFonts w:eastAsia="Times New Roman"/>
          <w:bCs/>
          <w:szCs w:val="24"/>
        </w:rPr>
        <w:t xml:space="preserve">The grain sizes (&gt;2.8mm) and (&gt;2.5mm) </w:t>
      </w:r>
      <w:r w:rsidRPr="000C3750">
        <w:rPr>
          <w:szCs w:val="24"/>
        </w:rPr>
        <w:t>of malt were barely significantly (p&lt; 0.05) affected by the interaction of lime rate and location (Table 5). The highest sieve size (&gt;2.8mm</w:t>
      </w:r>
      <w:r w:rsidRPr="000C3750">
        <w:rPr>
          <w:rFonts w:eastAsia="Times New Roman"/>
          <w:bCs/>
          <w:szCs w:val="24"/>
        </w:rPr>
        <w:t xml:space="preserve"> [74.2%]) was recorded at Bekoji and the lowest (28.9%) at Kofele</w:t>
      </w:r>
      <w:r w:rsidRPr="000C3750">
        <w:rPr>
          <w:szCs w:val="24"/>
        </w:rPr>
        <w:t xml:space="preserve"> when the crop was grown at the rate of 3.0 t ha</w:t>
      </w:r>
      <w:r w:rsidRPr="000C3750">
        <w:rPr>
          <w:szCs w:val="24"/>
          <w:vertAlign w:val="superscript"/>
        </w:rPr>
        <w:t>-1</w:t>
      </w:r>
      <w:r w:rsidRPr="000C3750">
        <w:rPr>
          <w:szCs w:val="24"/>
        </w:rPr>
        <w:t xml:space="preserve"> of lime application (</w:t>
      </w:r>
      <w:r w:rsidR="00582A3C" w:rsidRPr="000C3750">
        <w:rPr>
          <w:b/>
          <w:szCs w:val="24"/>
        </w:rPr>
        <w:t>Table 5).</w:t>
      </w:r>
      <w:r w:rsidRPr="000C3750">
        <w:rPr>
          <w:szCs w:val="24"/>
        </w:rPr>
        <w:t xml:space="preserve"> The</w:t>
      </w:r>
      <w:r w:rsidRPr="000C3750">
        <w:rPr>
          <w:rFonts w:eastAsia="Times New Roman"/>
          <w:bCs/>
          <w:szCs w:val="24"/>
        </w:rPr>
        <w:t xml:space="preserve"> size (&gt;2.2mm) </w:t>
      </w:r>
      <w:r w:rsidRPr="000C3750">
        <w:rPr>
          <w:szCs w:val="24"/>
        </w:rPr>
        <w:t xml:space="preserve">of the malt was barely significantly </w:t>
      </w:r>
      <w:r w:rsidRPr="000C3750">
        <w:rPr>
          <w:spacing w:val="2"/>
          <w:szCs w:val="24"/>
        </w:rPr>
        <w:lastRenderedPageBreak/>
        <w:t>(</w:t>
      </w:r>
      <w:r w:rsidRPr="000C3750">
        <w:rPr>
          <w:i/>
          <w:iCs/>
          <w:w w:val="99"/>
          <w:szCs w:val="24"/>
        </w:rPr>
        <w:t>P</w:t>
      </w:r>
      <w:r w:rsidRPr="000C3750">
        <w:rPr>
          <w:szCs w:val="24"/>
        </w:rPr>
        <w:t xml:space="preserve">&lt;0.05) affected only by the main effect of location (Table 5). </w:t>
      </w:r>
      <w:proofErr w:type="gramStart"/>
      <w:r w:rsidRPr="000C3750">
        <w:rPr>
          <w:szCs w:val="24"/>
        </w:rPr>
        <w:t>The</w:t>
      </w:r>
      <w:r w:rsidRPr="000C3750">
        <w:rPr>
          <w:rFonts w:eastAsia="Times New Roman"/>
          <w:bCs/>
          <w:szCs w:val="24"/>
        </w:rPr>
        <w:t xml:space="preserve"> size (&gt;2.2mm) s</w:t>
      </w:r>
      <w:r w:rsidRPr="000C3750">
        <w:rPr>
          <w:szCs w:val="24"/>
        </w:rPr>
        <w:t>ignificantly higher (20.3%) when the crop was grown in Kofele than in Bekoji (6.3%).</w:t>
      </w:r>
      <w:proofErr w:type="gramEnd"/>
      <w:r w:rsidRPr="000C3750">
        <w:rPr>
          <w:szCs w:val="24"/>
        </w:rPr>
        <w:t xml:space="preserve"> </w:t>
      </w:r>
    </w:p>
    <w:p w:rsidR="009D645F" w:rsidRPr="000C3750" w:rsidRDefault="009D645F" w:rsidP="009D645F">
      <w:pPr>
        <w:spacing w:after="0" w:line="360" w:lineRule="auto"/>
        <w:jc w:val="both"/>
        <w:rPr>
          <w:rFonts w:ascii="Courier New" w:hAnsi="Courier New" w:cs="Courier New"/>
          <w:sz w:val="20"/>
          <w:szCs w:val="20"/>
        </w:rPr>
      </w:pPr>
      <w:r>
        <w:rPr>
          <w:rFonts w:eastAsia="Times New Roman"/>
          <w:bCs/>
          <w:szCs w:val="24"/>
        </w:rPr>
        <w:t>The malt sieve test (</w:t>
      </w:r>
      <w:r>
        <w:rPr>
          <w:rFonts w:eastAsia="Times New Roman"/>
          <w:bCs/>
          <w:szCs w:val="24"/>
          <w:lang w:val="am-ET"/>
        </w:rPr>
        <w:t>&lt;</w:t>
      </w:r>
      <w:r>
        <w:rPr>
          <w:rFonts w:eastAsia="Times New Roman"/>
          <w:bCs/>
          <w:szCs w:val="24"/>
        </w:rPr>
        <w:t xml:space="preserve">2.2mm) </w:t>
      </w:r>
      <w:r>
        <w:rPr>
          <w:szCs w:val="24"/>
        </w:rPr>
        <w:t xml:space="preserve">of malt was barely significantly (p&lt; 0.05) affected by the interaction of P rate and location </w:t>
      </w:r>
      <w:r>
        <w:rPr>
          <w:spacing w:val="2"/>
          <w:szCs w:val="24"/>
        </w:rPr>
        <w:t>(p</w:t>
      </w:r>
      <w:r>
        <w:rPr>
          <w:szCs w:val="24"/>
        </w:rPr>
        <w:t xml:space="preserve">&lt;0.05) (Table 5). The highest </w:t>
      </w:r>
      <w:r>
        <w:rPr>
          <w:rFonts w:eastAsia="Times New Roman"/>
          <w:bCs/>
          <w:szCs w:val="24"/>
        </w:rPr>
        <w:t>grain size (</w:t>
      </w:r>
      <w:r>
        <w:rPr>
          <w:rFonts w:eastAsia="Times New Roman"/>
          <w:bCs/>
          <w:szCs w:val="24"/>
          <w:lang w:val="am-ET"/>
        </w:rPr>
        <w:t>&lt;</w:t>
      </w:r>
      <w:r>
        <w:rPr>
          <w:rFonts w:eastAsia="Times New Roman"/>
          <w:bCs/>
          <w:szCs w:val="24"/>
        </w:rPr>
        <w:t xml:space="preserve">2.2mm) </w:t>
      </w:r>
      <w:r>
        <w:rPr>
          <w:szCs w:val="24"/>
        </w:rPr>
        <w:t>(6.5%) was recorded when the crop was grown at the rate of 20kg P ha</w:t>
      </w:r>
      <w:r>
        <w:rPr>
          <w:szCs w:val="24"/>
          <w:vertAlign w:val="superscript"/>
        </w:rPr>
        <w:t>-1</w:t>
      </w:r>
      <w:r>
        <w:rPr>
          <w:szCs w:val="24"/>
        </w:rPr>
        <w:t xml:space="preserve"> at Kofele and the lowest </w:t>
      </w:r>
      <w:r>
        <w:rPr>
          <w:rFonts w:eastAsia="Times New Roman"/>
          <w:bCs/>
          <w:szCs w:val="24"/>
        </w:rPr>
        <w:t>grain size (</w:t>
      </w:r>
      <w:r>
        <w:rPr>
          <w:rFonts w:eastAsia="Times New Roman"/>
          <w:bCs/>
          <w:szCs w:val="24"/>
          <w:lang w:val="am-ET"/>
        </w:rPr>
        <w:t>&lt;</w:t>
      </w:r>
      <w:r>
        <w:rPr>
          <w:rFonts w:eastAsia="Times New Roman"/>
          <w:bCs/>
          <w:szCs w:val="24"/>
        </w:rPr>
        <w:t>2.2mm)</w:t>
      </w:r>
      <w:r>
        <w:rPr>
          <w:szCs w:val="24"/>
        </w:rPr>
        <w:t xml:space="preserve"> (1.5%) was obtained when the crop was grown at the rate of 20kg P ha</w:t>
      </w:r>
      <w:r>
        <w:rPr>
          <w:szCs w:val="24"/>
          <w:vertAlign w:val="superscript"/>
        </w:rPr>
        <w:t>-1</w:t>
      </w:r>
      <w:r>
        <w:rPr>
          <w:szCs w:val="24"/>
        </w:rPr>
        <w:t xml:space="preserve"> at Bekoji (Table 5). </w:t>
      </w:r>
      <w:r>
        <w:t xml:space="preserve">The highest sieve size, which is statistically far from </w:t>
      </w:r>
      <w:proofErr w:type="gramStart"/>
      <w:r>
        <w:t>the</w:t>
      </w:r>
      <w:bookmarkStart w:id="9" w:name="_GoBack"/>
      <w:bookmarkEnd w:id="9"/>
      <w:proofErr w:type="gramEnd"/>
      <w:r>
        <w:t xml:space="preserve"> highest sieve size (72.0%) was recorded at the Bekoji study site, while the lowest sieve size (31.9%) was recorded at the Kofele </w:t>
      </w:r>
      <w:r>
        <w:rPr>
          <w:szCs w:val="24"/>
        </w:rPr>
        <w:t>study site</w:t>
      </w:r>
      <w:r>
        <w:t xml:space="preserve">. According to </w:t>
      </w:r>
      <w:smartTag w:uri="urn:schemas-microsoft-com:office:smarttags" w:element="stockticker">
        <w:r>
          <w:t>ESA</w:t>
        </w:r>
      </w:smartTag>
      <w:r>
        <w:t xml:space="preserve"> (2001) and EQSA (2006), percent kernel sample retained on (</w:t>
      </w:r>
      <w:smartTag w:uri="urn:schemas-microsoft-com:office:smarttags" w:element="metricconverter">
        <w:smartTagPr>
          <w:attr w:name="ProductID" w:val="2.8 mm"/>
        </w:smartTagPr>
        <w:r>
          <w:t>2.8 mm</w:t>
        </w:r>
      </w:smartTag>
      <w:r>
        <w:t xml:space="preserve"> +</w:t>
      </w:r>
      <w:smartTag w:uri="urn:schemas-microsoft-com:office:smarttags" w:element="metricconverter">
        <w:smartTagPr>
          <w:attr w:name="ProductID" w:val="2.5 mm"/>
        </w:smartTagPr>
        <w:r>
          <w:t>2.5 mm</w:t>
        </w:r>
      </w:smartTag>
      <w:r>
        <w:t>) screen sizes should be greater than 65 to 75% while the kernel sample which pass through sieve size &lt;</w:t>
      </w:r>
      <w:smartTag w:uri="urn:schemas-microsoft-com:office:smarttags" w:element="metricconverter">
        <w:smartTagPr>
          <w:attr w:name="ProductID" w:val="2.2 mm"/>
        </w:smartTagPr>
        <w:r>
          <w:t>2.2 mm</w:t>
        </w:r>
      </w:smartTag>
      <w:r>
        <w:t xml:space="preserve"> should not be more than 4 to 6%. The current result indicated that the sieve size was in the acceptable range of sieve size. In this study, grain size meets the standard requirement of the Industry according to Ethiopian Barely Business case presentation (EBC) and Ethiopian malt factory (Fox </w:t>
      </w:r>
      <w:r>
        <w:rPr>
          <w:i/>
        </w:rPr>
        <w:t>et al</w:t>
      </w:r>
      <w:r>
        <w:t>., 2006) demonstrated fertilizer and environmental effects in improving grain size. Industry standards for large grains are based on the total percentage of grain &gt; 2.5mm (</w:t>
      </w:r>
      <w:proofErr w:type="spellStart"/>
      <w:r>
        <w:t>Kefale</w:t>
      </w:r>
      <w:proofErr w:type="spellEnd"/>
      <w:r>
        <w:t xml:space="preserve"> </w:t>
      </w:r>
      <w:r>
        <w:rPr>
          <w:i/>
        </w:rPr>
        <w:t>et al</w:t>
      </w:r>
      <w:r>
        <w:t>., 2016).</w:t>
      </w:r>
      <w:r>
        <w:rPr>
          <w:rFonts w:eastAsia="Times New Roman"/>
          <w:bCs/>
          <w:kern w:val="32"/>
          <w:szCs w:val="24"/>
        </w:rPr>
        <w:t xml:space="preserve">The present result was in line with the study by </w:t>
      </w:r>
      <w:proofErr w:type="spellStart"/>
      <w:r>
        <w:rPr>
          <w:rFonts w:eastAsia="Times New Roman"/>
          <w:bCs/>
          <w:kern w:val="32"/>
          <w:szCs w:val="24"/>
        </w:rPr>
        <w:t>Abdisa</w:t>
      </w:r>
      <w:proofErr w:type="spellEnd"/>
      <w:r>
        <w:rPr>
          <w:rFonts w:eastAsia="Times New Roman"/>
          <w:bCs/>
          <w:kern w:val="32"/>
          <w:szCs w:val="24"/>
        </w:rPr>
        <w:t xml:space="preserve"> (2020) and </w:t>
      </w:r>
      <w:proofErr w:type="spellStart"/>
      <w:r>
        <w:rPr>
          <w:szCs w:val="24"/>
        </w:rPr>
        <w:t>Abebe</w:t>
      </w:r>
      <w:proofErr w:type="spellEnd"/>
      <w:r>
        <w:rPr>
          <w:szCs w:val="24"/>
        </w:rPr>
        <w:t xml:space="preserve"> </w:t>
      </w:r>
      <w:proofErr w:type="spellStart"/>
      <w:r>
        <w:rPr>
          <w:szCs w:val="24"/>
        </w:rPr>
        <w:t>Assefa</w:t>
      </w:r>
      <w:proofErr w:type="spellEnd"/>
      <w:r>
        <w:rPr>
          <w:szCs w:val="24"/>
        </w:rPr>
        <w:t xml:space="preserve"> (2018), </w:t>
      </w:r>
      <w:r>
        <w:rPr>
          <w:rFonts w:eastAsia="Times New Roman"/>
          <w:bCs/>
          <w:kern w:val="32"/>
          <w:szCs w:val="24"/>
        </w:rPr>
        <w:t>who observed a significant difference between fertilizer and location in the size of the grain sieve.</w:t>
      </w:r>
    </w:p>
    <w:p w:rsidR="009D645F" w:rsidRPr="000C3750" w:rsidRDefault="009D645F" w:rsidP="009D645F">
      <w:pPr>
        <w:widowControl w:val="0"/>
        <w:autoSpaceDE w:val="0"/>
        <w:autoSpaceDN w:val="0"/>
        <w:adjustRightInd w:val="0"/>
        <w:spacing w:after="0" w:line="360" w:lineRule="auto"/>
        <w:jc w:val="both"/>
        <w:rPr>
          <w:szCs w:val="24"/>
        </w:rPr>
      </w:pPr>
      <w:r>
        <w:rPr>
          <w:szCs w:val="24"/>
        </w:rPr>
        <w:t xml:space="preserve">The grain size is an important parameter of malting quality, because small grains contain less carbohydrate and lead to a low level of malt extract (Zhao </w:t>
      </w:r>
      <w:r>
        <w:rPr>
          <w:i/>
          <w:szCs w:val="24"/>
        </w:rPr>
        <w:t>et al</w:t>
      </w:r>
      <w:r>
        <w:rPr>
          <w:szCs w:val="24"/>
        </w:rPr>
        <w:t>., 2006). Turbidity values were found to be higher on the order of 0-2.5mm &gt;2.5-2.8&gt;2.8mm. The grain sizes that pass through the sieve size of 0-2.5mm were found to be too hazy due to the presence of chaff and the outer hull.</w:t>
      </w:r>
    </w:p>
    <w:p w:rsidR="009D645F" w:rsidRPr="000C3750" w:rsidRDefault="009D645F" w:rsidP="009D645F">
      <w:pPr>
        <w:widowControl w:val="0"/>
        <w:autoSpaceDE w:val="0"/>
        <w:autoSpaceDN w:val="0"/>
        <w:adjustRightInd w:val="0"/>
        <w:spacing w:after="0" w:line="360" w:lineRule="auto"/>
        <w:jc w:val="both"/>
        <w:rPr>
          <w:szCs w:val="24"/>
        </w:rPr>
      </w:pPr>
      <w:r>
        <w:rPr>
          <w:szCs w:val="24"/>
        </w:rPr>
        <w:t xml:space="preserve">These results are in agreement with the result obtained by </w:t>
      </w:r>
      <w:proofErr w:type="spellStart"/>
      <w:r>
        <w:rPr>
          <w:szCs w:val="24"/>
        </w:rPr>
        <w:t>Biadge</w:t>
      </w:r>
      <w:proofErr w:type="spellEnd"/>
      <w:r>
        <w:rPr>
          <w:szCs w:val="24"/>
        </w:rPr>
        <w:t xml:space="preserve"> (2016) that the Bekoji varieties had a higher mean grain size than the </w:t>
      </w:r>
      <w:proofErr w:type="spellStart"/>
      <w:r>
        <w:rPr>
          <w:szCs w:val="24"/>
        </w:rPr>
        <w:t>Ankober</w:t>
      </w:r>
      <w:proofErr w:type="spellEnd"/>
      <w:r>
        <w:rPr>
          <w:szCs w:val="24"/>
        </w:rPr>
        <w:t xml:space="preserve"> varieties and in </w:t>
      </w:r>
      <w:proofErr w:type="spellStart"/>
      <w:r>
        <w:rPr>
          <w:szCs w:val="24"/>
        </w:rPr>
        <w:t>Ankober</w:t>
      </w:r>
      <w:proofErr w:type="spellEnd"/>
      <w:r>
        <w:rPr>
          <w:szCs w:val="24"/>
        </w:rPr>
        <w:t xml:space="preserve"> had a higher mean grain size of malt barley than </w:t>
      </w:r>
      <w:proofErr w:type="spellStart"/>
      <w:r>
        <w:rPr>
          <w:szCs w:val="24"/>
        </w:rPr>
        <w:t>Holeta</w:t>
      </w:r>
      <w:proofErr w:type="spellEnd"/>
      <w:r>
        <w:rPr>
          <w:szCs w:val="24"/>
        </w:rPr>
        <w:t xml:space="preserve"> (94.07, 92.87, and 72.62%; respectively) but the requirement in the brewing industry is &gt;80 % must be above the size of the sieve of 2.8 and 2.5mm according to the Ethiopian standard requirement for malt purpose and the current result falls into this category.</w:t>
      </w:r>
    </w:p>
    <w:p w:rsidR="009D645F" w:rsidRPr="000C3750" w:rsidRDefault="009D645F" w:rsidP="009D645F">
      <w:pPr>
        <w:pStyle w:val="ListParagraph"/>
        <w:widowControl w:val="0"/>
        <w:numPr>
          <w:ilvl w:val="2"/>
          <w:numId w:val="11"/>
        </w:numPr>
        <w:autoSpaceDE w:val="0"/>
        <w:autoSpaceDN w:val="0"/>
        <w:adjustRightInd w:val="0"/>
        <w:spacing w:after="0" w:line="360" w:lineRule="auto"/>
        <w:jc w:val="both"/>
        <w:rPr>
          <w:rFonts w:ascii="Times New Roman" w:hAnsi="Times New Roman"/>
          <w:b/>
          <w:sz w:val="24"/>
          <w:szCs w:val="24"/>
        </w:rPr>
      </w:pPr>
      <w:r w:rsidRPr="000C3750">
        <w:rPr>
          <w:rFonts w:ascii="Times New Roman" w:hAnsi="Times New Roman"/>
          <w:b/>
          <w:sz w:val="24"/>
          <w:szCs w:val="24"/>
        </w:rPr>
        <w:t>Moisture content (MC).</w:t>
      </w:r>
      <w:r w:rsidRPr="000C3750">
        <w:rPr>
          <w:rFonts w:ascii="Times New Roman" w:hAnsi="Times New Roman"/>
          <w:b/>
          <w:sz w:val="24"/>
          <w:szCs w:val="24"/>
        </w:rPr>
        <w:tab/>
      </w:r>
    </w:p>
    <w:p w:rsidR="009D645F" w:rsidRPr="000C3750" w:rsidRDefault="009D645F" w:rsidP="009D645F">
      <w:pPr>
        <w:widowControl w:val="0"/>
        <w:autoSpaceDE w:val="0"/>
        <w:autoSpaceDN w:val="0"/>
        <w:adjustRightInd w:val="0"/>
        <w:spacing w:after="0" w:line="360" w:lineRule="auto"/>
        <w:jc w:val="both"/>
        <w:rPr>
          <w:szCs w:val="24"/>
        </w:rPr>
      </w:pPr>
      <w:r w:rsidRPr="000C3750">
        <w:rPr>
          <w:szCs w:val="24"/>
        </w:rPr>
        <w:lastRenderedPageBreak/>
        <w:t>The main effects of location and P rate</w:t>
      </w:r>
      <w:r w:rsidRPr="000C3750">
        <w:rPr>
          <w:spacing w:val="2"/>
          <w:szCs w:val="24"/>
        </w:rPr>
        <w:t xml:space="preserve"> </w:t>
      </w:r>
      <w:r w:rsidRPr="000C3750">
        <w:rPr>
          <w:szCs w:val="24"/>
        </w:rPr>
        <w:t xml:space="preserve">were significant </w:t>
      </w:r>
      <w:r w:rsidRPr="000C3750">
        <w:rPr>
          <w:spacing w:val="2"/>
          <w:szCs w:val="24"/>
        </w:rPr>
        <w:t>(</w:t>
      </w:r>
      <w:r w:rsidRPr="000C3750">
        <w:rPr>
          <w:iCs/>
          <w:w w:val="99"/>
          <w:szCs w:val="24"/>
        </w:rPr>
        <w:t>p</w:t>
      </w:r>
      <w:r w:rsidRPr="000C3750">
        <w:rPr>
          <w:szCs w:val="24"/>
        </w:rPr>
        <w:t xml:space="preserve">&lt;0.05) in malt MC. Significantly higher MC (10.5%) was recorded when the crop was grown in Bekoji than in Kofele (10.1 %) </w:t>
      </w:r>
      <w:r w:rsidRPr="000C3750">
        <w:rPr>
          <w:b/>
          <w:szCs w:val="24"/>
        </w:rPr>
        <w:t>(Table 6).</w:t>
      </w:r>
      <w:r w:rsidRPr="000C3750">
        <w:rPr>
          <w:szCs w:val="24"/>
        </w:rPr>
        <w:t xml:space="preserve"> Similarly, </w:t>
      </w:r>
      <w:proofErr w:type="spellStart"/>
      <w:r w:rsidRPr="000C3750">
        <w:rPr>
          <w:szCs w:val="24"/>
        </w:rPr>
        <w:t>Biadge</w:t>
      </w:r>
      <w:proofErr w:type="spellEnd"/>
      <w:r w:rsidRPr="000C3750">
        <w:rPr>
          <w:szCs w:val="24"/>
        </w:rPr>
        <w:t xml:space="preserve"> (2016) reported significant differences (p&lt;0.05) between locations for grain moisture content. The moisture content of malt barley grain was higher in Bekoji than in </w:t>
      </w:r>
      <w:proofErr w:type="spellStart"/>
      <w:r w:rsidRPr="000C3750">
        <w:rPr>
          <w:szCs w:val="24"/>
        </w:rPr>
        <w:t>Holeta</w:t>
      </w:r>
      <w:proofErr w:type="spellEnd"/>
      <w:r w:rsidRPr="000C3750">
        <w:rPr>
          <w:szCs w:val="24"/>
        </w:rPr>
        <w:t xml:space="preserve"> and </w:t>
      </w:r>
      <w:proofErr w:type="spellStart"/>
      <w:r w:rsidRPr="000C3750">
        <w:rPr>
          <w:szCs w:val="24"/>
        </w:rPr>
        <w:t>Ankober</w:t>
      </w:r>
      <w:proofErr w:type="spellEnd"/>
      <w:r w:rsidRPr="000C3750">
        <w:rPr>
          <w:szCs w:val="24"/>
        </w:rPr>
        <w:t xml:space="preserve"> (13.83, 11.44% and 8.36%, respectively) (</w:t>
      </w:r>
      <w:proofErr w:type="spellStart"/>
      <w:r w:rsidRPr="000C3750">
        <w:rPr>
          <w:szCs w:val="24"/>
        </w:rPr>
        <w:t>Biadge</w:t>
      </w:r>
      <w:proofErr w:type="spellEnd"/>
      <w:r w:rsidR="00582A3C" w:rsidRPr="000C3750">
        <w:rPr>
          <w:szCs w:val="24"/>
        </w:rPr>
        <w:t xml:space="preserve"> 2016). Moisture levels must be low enough to inactivate enzymes involved in seed germination, as well as to prevent heat damage and the growth of disease microorganisms. According to Fox </w:t>
      </w:r>
      <w:r w:rsidRPr="000C3750">
        <w:rPr>
          <w:i/>
          <w:szCs w:val="24"/>
        </w:rPr>
        <w:t>et al</w:t>
      </w:r>
      <w:r w:rsidRPr="000C3750">
        <w:rPr>
          <w:szCs w:val="24"/>
        </w:rPr>
        <w:t xml:space="preserve">. (2003), the maximum reasonable industrial specification of the malt barley moisture content for safe storage is 12.5%, whereas the European Brewery Convention (EBC) standard accepts a moisture content of 12 -13%. In this study, the moisture content was below these standards and in the acceptable range of Asella Malt Factory is </w:t>
      </w:r>
      <w:r w:rsidRPr="000C3750">
        <w:t>10.5-13.5%</w:t>
      </w:r>
      <w:r w:rsidRPr="000C3750">
        <w:rPr>
          <w:szCs w:val="24"/>
        </w:rPr>
        <w:t>.</w:t>
      </w:r>
    </w:p>
    <w:p w:rsidR="009D645F" w:rsidRPr="000C3750" w:rsidRDefault="009D645F" w:rsidP="009D645F">
      <w:pPr>
        <w:widowControl w:val="0"/>
        <w:autoSpaceDE w:val="0"/>
        <w:autoSpaceDN w:val="0"/>
        <w:adjustRightInd w:val="0"/>
        <w:spacing w:after="0" w:line="360" w:lineRule="auto"/>
        <w:jc w:val="both"/>
        <w:rPr>
          <w:szCs w:val="24"/>
        </w:rPr>
      </w:pPr>
      <w:r>
        <w:rPr>
          <w:szCs w:val="24"/>
        </w:rPr>
        <w:t xml:space="preserve"> Phosphorus at the rate of 0kg ha</w:t>
      </w:r>
      <w:r>
        <w:rPr>
          <w:szCs w:val="24"/>
          <w:vertAlign w:val="superscript"/>
        </w:rPr>
        <w:t>-1</w:t>
      </w:r>
      <w:r>
        <w:rPr>
          <w:szCs w:val="24"/>
        </w:rPr>
        <w:t xml:space="preserve"> gave significantly the highest (10.7 %) moisture content (10.7%) and the lowest moisture content (10.1%) was recorded with 30kg phosphorus ha</w:t>
      </w:r>
      <w:r>
        <w:rPr>
          <w:szCs w:val="24"/>
          <w:vertAlign w:val="superscript"/>
        </w:rPr>
        <w:t>-1</w:t>
      </w:r>
      <w:r>
        <w:rPr>
          <w:szCs w:val="24"/>
        </w:rPr>
        <w:t>, which was statistically at par with 10 and 20 kg phosphorus ha</w:t>
      </w:r>
      <w:r>
        <w:rPr>
          <w:szCs w:val="24"/>
          <w:vertAlign w:val="superscript"/>
        </w:rPr>
        <w:t>-1</w:t>
      </w:r>
      <w:r>
        <w:rPr>
          <w:szCs w:val="24"/>
        </w:rPr>
        <w:t xml:space="preserve"> (Table 6). The moisture content of barley malt is one of the characteristics, particularly in relation to safe storage. The increase in moisture content is important during the malting process, as the grain must absorb enough water for the activation of enzymes and the initiation of germination, ultimately affecting the quality of the beer produced from the malt.</w:t>
      </w:r>
    </w:p>
    <w:p w:rsidR="009D645F" w:rsidRPr="000C3750" w:rsidRDefault="009D645F" w:rsidP="009D645F">
      <w:pPr>
        <w:widowControl w:val="0"/>
        <w:autoSpaceDE w:val="0"/>
        <w:autoSpaceDN w:val="0"/>
        <w:adjustRightInd w:val="0"/>
        <w:spacing w:after="0" w:line="360" w:lineRule="auto"/>
        <w:jc w:val="both"/>
        <w:rPr>
          <w:szCs w:val="24"/>
        </w:rPr>
      </w:pPr>
      <w:r>
        <w:rPr>
          <w:szCs w:val="24"/>
        </w:rPr>
        <w:t xml:space="preserve">The malt moisture content for long shelf-stable storage is recommended to be 8 to 10% (Weston </w:t>
      </w:r>
      <w:r>
        <w:rPr>
          <w:i/>
          <w:szCs w:val="24"/>
        </w:rPr>
        <w:t>et al</w:t>
      </w:r>
      <w:r>
        <w:rPr>
          <w:szCs w:val="24"/>
        </w:rPr>
        <w:t>., 1993).  Barley grain for malting over 13.5% moisture does not store well. It is also important to evaluate the moisture content at harvest. Barley should have a moisture content below 14% for long-term storage so that the grain does not mold or germinate prematurely. Barley that has more than 14% moisture should be dried for storage.</w:t>
      </w:r>
    </w:p>
    <w:p w:rsidR="008D36AF" w:rsidRPr="000C3750" w:rsidRDefault="00AA51CA" w:rsidP="00CA176A">
      <w:pPr>
        <w:pStyle w:val="ListParagraph"/>
        <w:widowControl w:val="0"/>
        <w:numPr>
          <w:ilvl w:val="2"/>
          <w:numId w:val="11"/>
        </w:numPr>
        <w:autoSpaceDE w:val="0"/>
        <w:autoSpaceDN w:val="0"/>
        <w:adjustRightInd w:val="0"/>
        <w:spacing w:after="0" w:line="360" w:lineRule="auto"/>
        <w:jc w:val="both"/>
        <w:rPr>
          <w:rFonts w:ascii="Times New Roman" w:hAnsi="Times New Roman"/>
          <w:b/>
          <w:sz w:val="24"/>
        </w:rPr>
      </w:pPr>
      <w:r w:rsidRPr="000C3750">
        <w:rPr>
          <w:rFonts w:ascii="Times New Roman" w:hAnsi="Times New Roman"/>
          <w:b/>
          <w:sz w:val="24"/>
        </w:rPr>
        <w:t>Hectoliter weight</w:t>
      </w:r>
      <w:r w:rsidR="008D36AF" w:rsidRPr="000C3750">
        <w:rPr>
          <w:rFonts w:ascii="Times New Roman" w:hAnsi="Times New Roman"/>
          <w:b/>
          <w:sz w:val="24"/>
        </w:rPr>
        <w:tab/>
      </w:r>
    </w:p>
    <w:p w:rsidR="00CA760E" w:rsidRPr="000C3750" w:rsidRDefault="00AA51CA" w:rsidP="00CA176A">
      <w:pPr>
        <w:widowControl w:val="0"/>
        <w:autoSpaceDE w:val="0"/>
        <w:autoSpaceDN w:val="0"/>
        <w:adjustRightInd w:val="0"/>
        <w:spacing w:after="0" w:line="360" w:lineRule="auto"/>
        <w:jc w:val="both"/>
      </w:pPr>
      <w:r>
        <w:t xml:space="preserve">The weight in hectoliters (HLW) of malt was barely significantly </w:t>
      </w:r>
      <w:r>
        <w:rPr>
          <w:spacing w:val="2"/>
          <w:szCs w:val="24"/>
        </w:rPr>
        <w:t>(</w:t>
      </w:r>
      <w:r>
        <w:rPr>
          <w:iCs/>
          <w:w w:val="99"/>
          <w:szCs w:val="24"/>
        </w:rPr>
        <w:t>p</w:t>
      </w:r>
      <w:r>
        <w:rPr>
          <w:szCs w:val="24"/>
        </w:rPr>
        <w:t>&lt;0.05)</w:t>
      </w:r>
      <w:r>
        <w:t xml:space="preserve"> affected only by the main effects of location and lime (Table 6). Significantly higher HLW (71 kg / hl) was recorded when the crop was grown in Bekoji than in Kofele (65 kg / hl) (</w:t>
      </w:r>
      <w:r>
        <w:rPr>
          <w:b/>
        </w:rPr>
        <w:t>Table 6</w:t>
      </w:r>
      <w:r>
        <w:t xml:space="preserve">). According to the Ethiopian quality standard, the acceptable test weight (HLW) for raw barley is in the range of 48 to 62 kg / </w:t>
      </w:r>
      <w:proofErr w:type="spellStart"/>
      <w:r>
        <w:t>hL</w:t>
      </w:r>
      <w:proofErr w:type="spellEnd"/>
      <w:r>
        <w:t xml:space="preserve"> (EQSA, 2006).The results of the present experiment showed an acceptable hectoliter weight at both locations. The result agrees with the result obtained by </w:t>
      </w:r>
      <w:proofErr w:type="spellStart"/>
      <w:r>
        <w:t>Biadge</w:t>
      </w:r>
      <w:proofErr w:type="spellEnd"/>
      <w:r>
        <w:t xml:space="preserve"> (2016) </w:t>
      </w:r>
      <w:r>
        <w:lastRenderedPageBreak/>
        <w:t xml:space="preserve">that there are significant differences (p &lt;0.05) between the HLW in two locations. The HLW was relatively higher obtained in </w:t>
      </w:r>
      <w:proofErr w:type="spellStart"/>
      <w:r>
        <w:t>Holeta</w:t>
      </w:r>
      <w:proofErr w:type="spellEnd"/>
      <w:r>
        <w:t xml:space="preserve"> (67.88 kg/</w:t>
      </w:r>
      <w:proofErr w:type="spellStart"/>
      <w:r>
        <w:t>hL</w:t>
      </w:r>
      <w:proofErr w:type="spellEnd"/>
      <w:r>
        <w:t xml:space="preserve">) and </w:t>
      </w:r>
      <w:proofErr w:type="spellStart"/>
      <w:r>
        <w:t>Ankober</w:t>
      </w:r>
      <w:proofErr w:type="spellEnd"/>
      <w:r>
        <w:t xml:space="preserve"> (67.16 kg/</w:t>
      </w:r>
      <w:proofErr w:type="spellStart"/>
      <w:r>
        <w:t>hL</w:t>
      </w:r>
      <w:proofErr w:type="spellEnd"/>
      <w:r>
        <w:t>) than in Bekoji (62.33 kg/</w:t>
      </w:r>
      <w:proofErr w:type="spellStart"/>
      <w:r>
        <w:t>hL</w:t>
      </w:r>
      <w:proofErr w:type="spellEnd"/>
      <w:r>
        <w:t xml:space="preserve">). The result is also in agreement with the result obtained by </w:t>
      </w:r>
      <w:proofErr w:type="spellStart"/>
      <w:r>
        <w:t>Temesgen</w:t>
      </w:r>
      <w:proofErr w:type="spellEnd"/>
      <w:r>
        <w:t xml:space="preserve"> (2014) that all lime treatments had higher mean values of HLW compared to those without lime. In the present trial, lime rate at3.0t ha</w:t>
      </w:r>
      <w:r>
        <w:rPr>
          <w:vertAlign w:val="superscript"/>
        </w:rPr>
        <w:t>-1</w:t>
      </w:r>
      <w:r>
        <w:t xml:space="preserve"> gave significantly the highest </w:t>
      </w:r>
      <w:r>
        <w:rPr>
          <w:szCs w:val="24"/>
        </w:rPr>
        <w:t xml:space="preserve">(68.9 kg / </w:t>
      </w:r>
      <w:proofErr w:type="spellStart"/>
      <w:r>
        <w:rPr>
          <w:szCs w:val="24"/>
        </w:rPr>
        <w:t>hL</w:t>
      </w:r>
      <w:proofErr w:type="spellEnd"/>
      <w:r>
        <w:rPr>
          <w:szCs w:val="24"/>
        </w:rPr>
        <w:t>) HLW,</w:t>
      </w:r>
      <w:r>
        <w:t xml:space="preserve"> while the lowest HLW </w:t>
      </w:r>
      <w:r>
        <w:rPr>
          <w:szCs w:val="24"/>
        </w:rPr>
        <w:t>(67.6 kg/</w:t>
      </w:r>
      <w:proofErr w:type="spellStart"/>
      <w:r>
        <w:rPr>
          <w:szCs w:val="24"/>
        </w:rPr>
        <w:t>hL</w:t>
      </w:r>
      <w:proofErr w:type="spellEnd"/>
      <w:r>
        <w:rPr>
          <w:szCs w:val="24"/>
        </w:rPr>
        <w:t xml:space="preserve">) </w:t>
      </w:r>
      <w:r>
        <w:t>was recorded at 1.5t ha</w:t>
      </w:r>
      <w:r>
        <w:rPr>
          <w:vertAlign w:val="superscript"/>
        </w:rPr>
        <w:t>-1</w:t>
      </w:r>
      <w:r>
        <w:t>, which was statistically at far with 0t ha</w:t>
      </w:r>
      <w:r>
        <w:rPr>
          <w:vertAlign w:val="superscript"/>
        </w:rPr>
        <w:t>-1</w:t>
      </w:r>
      <w:r>
        <w:t>.</w:t>
      </w:r>
    </w:p>
    <w:p w:rsidR="008D36AF" w:rsidRPr="000C3750" w:rsidRDefault="00B04C99" w:rsidP="00CA176A">
      <w:pPr>
        <w:pStyle w:val="ListParagraph"/>
        <w:widowControl w:val="0"/>
        <w:numPr>
          <w:ilvl w:val="2"/>
          <w:numId w:val="11"/>
        </w:numPr>
        <w:autoSpaceDE w:val="0"/>
        <w:autoSpaceDN w:val="0"/>
        <w:adjustRightInd w:val="0"/>
        <w:spacing w:after="0" w:line="360" w:lineRule="auto"/>
        <w:jc w:val="both"/>
        <w:rPr>
          <w:rFonts w:ascii="Times New Roman" w:hAnsi="Times New Roman"/>
          <w:b/>
          <w:sz w:val="24"/>
        </w:rPr>
      </w:pPr>
      <w:r w:rsidRPr="000C3750">
        <w:rPr>
          <w:rFonts w:ascii="Times New Roman" w:hAnsi="Times New Roman"/>
          <w:b/>
          <w:sz w:val="24"/>
        </w:rPr>
        <w:t xml:space="preserve">Germination capacity </w:t>
      </w:r>
      <w:r w:rsidR="008D36AF" w:rsidRPr="000C3750">
        <w:rPr>
          <w:rFonts w:ascii="Times New Roman" w:hAnsi="Times New Roman"/>
          <w:b/>
          <w:sz w:val="24"/>
        </w:rPr>
        <w:tab/>
      </w:r>
    </w:p>
    <w:p w:rsidR="00CA760E" w:rsidRPr="000C3750" w:rsidRDefault="00B04C99" w:rsidP="00CA176A">
      <w:pPr>
        <w:widowControl w:val="0"/>
        <w:autoSpaceDE w:val="0"/>
        <w:autoSpaceDN w:val="0"/>
        <w:adjustRightInd w:val="0"/>
        <w:spacing w:after="0" w:line="360" w:lineRule="auto"/>
        <w:jc w:val="both"/>
      </w:pPr>
      <w:r>
        <w:rPr>
          <w:rFonts w:eastAsia="Times New Roman"/>
          <w:bCs/>
          <w:sz w:val="22"/>
        </w:rPr>
        <w:t>The malt germination capacity (GC) was</w:t>
      </w:r>
      <w:r>
        <w:t xml:space="preserve"> significantly </w:t>
      </w:r>
      <w:r>
        <w:rPr>
          <w:spacing w:val="2"/>
          <w:szCs w:val="24"/>
        </w:rPr>
        <w:t>(</w:t>
      </w:r>
      <w:r>
        <w:rPr>
          <w:i/>
          <w:iCs/>
          <w:w w:val="99"/>
          <w:szCs w:val="24"/>
        </w:rPr>
        <w:t>p</w:t>
      </w:r>
      <w:r>
        <w:rPr>
          <w:szCs w:val="24"/>
        </w:rPr>
        <w:t>&lt;0.05)</w:t>
      </w:r>
      <w:r>
        <w:t xml:space="preserve"> affected only by the main effect of location (Ta</w:t>
      </w:r>
      <w:r>
        <w:rPr>
          <w:szCs w:val="24"/>
        </w:rPr>
        <w:t xml:space="preserve">ble 6). A significantly higher </w:t>
      </w:r>
      <w:r>
        <w:rPr>
          <w:rFonts w:eastAsia="Times New Roman"/>
          <w:bCs/>
          <w:szCs w:val="24"/>
        </w:rPr>
        <w:t>germination capacity</w:t>
      </w:r>
      <w:r>
        <w:rPr>
          <w:szCs w:val="24"/>
        </w:rPr>
        <w:t xml:space="preserve"> (99.0%) was recorded when the crop was grown in Bekoji compared to Kofele with a </w:t>
      </w:r>
      <w:r>
        <w:rPr>
          <w:rFonts w:eastAsia="Times New Roman"/>
          <w:bCs/>
          <w:szCs w:val="24"/>
        </w:rPr>
        <w:t xml:space="preserve">germination capacity </w:t>
      </w:r>
      <w:r>
        <w:rPr>
          <w:szCs w:val="24"/>
        </w:rPr>
        <w:t xml:space="preserve">of 98.6 % (Table 6). </w:t>
      </w:r>
    </w:p>
    <w:p w:rsidR="008D36AF" w:rsidRPr="000C3750" w:rsidRDefault="005D14A5" w:rsidP="00CA176A">
      <w:pPr>
        <w:widowControl w:val="0"/>
        <w:autoSpaceDE w:val="0"/>
        <w:autoSpaceDN w:val="0"/>
        <w:adjustRightInd w:val="0"/>
        <w:spacing w:after="0" w:line="360" w:lineRule="auto"/>
        <w:jc w:val="both"/>
      </w:pPr>
      <w:r w:rsidRPr="000C3750">
        <w:t xml:space="preserve">One of the key qualities of malting barley is its ability to germinate rapidly and synchronously. Dormancy can interfere with the rapid and uniform germination of barley, thus reducing the resultant quality of malt. Failure of barley grain to germinate at an acceptable level (&gt; 96%) could introduce problems during the malting process. The range of germination capacity (at 72 h) ranged from 73.44% to 100% with an average of 94.31% is the standard for the beer industries. A desirable range of values (&gt;95%) for the </w:t>
      </w:r>
      <w:r w:rsidRPr="000C3750">
        <w:rPr>
          <w:rFonts w:eastAsia="Times New Roman"/>
          <w:bCs/>
          <w:sz w:val="22"/>
        </w:rPr>
        <w:t>germination capacity</w:t>
      </w:r>
      <w:r w:rsidRPr="000C3750">
        <w:t xml:space="preserve"> indicates good seed viability and a good germination process.</w:t>
      </w:r>
    </w:p>
    <w:p w:rsidR="008D36AF" w:rsidRPr="000C3750" w:rsidRDefault="007C75F4" w:rsidP="00CA176A">
      <w:pPr>
        <w:pStyle w:val="ListParagraph"/>
        <w:numPr>
          <w:ilvl w:val="2"/>
          <w:numId w:val="11"/>
        </w:numPr>
        <w:spacing w:after="0" w:line="360" w:lineRule="auto"/>
        <w:jc w:val="both"/>
        <w:rPr>
          <w:rFonts w:ascii="Times New Roman" w:hAnsi="Times New Roman"/>
          <w:b/>
          <w:sz w:val="24"/>
        </w:rPr>
      </w:pPr>
      <w:r w:rsidRPr="000C3750">
        <w:rPr>
          <w:rFonts w:ascii="Times New Roman" w:hAnsi="Times New Roman"/>
          <w:b/>
          <w:sz w:val="24"/>
        </w:rPr>
        <w:t>Protein Content</w:t>
      </w:r>
    </w:p>
    <w:p w:rsidR="00AB7DAA" w:rsidRPr="000C3750" w:rsidRDefault="001F4798" w:rsidP="00AB7DAA">
      <w:pPr>
        <w:spacing w:after="0" w:line="360" w:lineRule="auto"/>
        <w:jc w:val="both"/>
        <w:rPr>
          <w:rFonts w:eastAsia="Calibri"/>
          <w:b/>
          <w:bCs/>
          <w:szCs w:val="24"/>
        </w:rPr>
      </w:pPr>
      <w:r>
        <w:t xml:space="preserve">The malt protein content was significantly (p&lt; 0.05) affected by the interaction between the P rate and the location and the main effect of the location </w:t>
      </w:r>
      <w:r>
        <w:rPr>
          <w:spacing w:val="2"/>
          <w:szCs w:val="24"/>
        </w:rPr>
        <w:t>(</w:t>
      </w:r>
      <w:r>
        <w:rPr>
          <w:i/>
          <w:iCs/>
          <w:w w:val="99"/>
          <w:szCs w:val="24"/>
        </w:rPr>
        <w:t>P</w:t>
      </w:r>
      <w:r>
        <w:rPr>
          <w:szCs w:val="24"/>
        </w:rPr>
        <w:t>&lt;0.05)</w:t>
      </w:r>
      <w:r>
        <w:t xml:space="preserve"> (</w:t>
      </w:r>
      <w:r>
        <w:rPr>
          <w:b/>
        </w:rPr>
        <w:t>Table 7</w:t>
      </w:r>
      <w:r>
        <w:t>). The highest protein content (14.5%) was recorded when the crop was grown at a rate of 10 kg phosphorus ha</w:t>
      </w:r>
      <w:r>
        <w:rPr>
          <w:vertAlign w:val="superscript"/>
        </w:rPr>
        <w:t>-1</w:t>
      </w:r>
      <w:r>
        <w:t xml:space="preserve"> at Kofele while the lowest protein (11.0%) was obtained when the crop was grown at a rate of 20 kg phosphorus ha</w:t>
      </w:r>
      <w:r>
        <w:rPr>
          <w:vertAlign w:val="superscript"/>
        </w:rPr>
        <w:t>-1</w:t>
      </w:r>
      <w:r>
        <w:t xml:space="preserve"> at Bekoji which is due to higher N content of Kofele than in Bekoji. This result is in agreement with the result reported by </w:t>
      </w:r>
      <w:proofErr w:type="spellStart"/>
      <w:r>
        <w:t>Kassu</w:t>
      </w:r>
      <w:proofErr w:type="spellEnd"/>
      <w:r>
        <w:t> </w:t>
      </w:r>
      <w:r>
        <w:rPr>
          <w:i/>
        </w:rPr>
        <w:t xml:space="preserve">et al. </w:t>
      </w:r>
      <w:r>
        <w:t>(2018) that grain protein concentrations of malting barley were very significantly affected by the integrated use of organic and mineral fertilizer. Improved malting barley yields due to the combined application of organic and mineral amendments resulted from positive changes in the soil, including an increase in soil pH, available P and total N, and possibly other macro and micronutrients</w:t>
      </w:r>
      <w:r>
        <w:rPr>
          <w:rFonts w:eastAsia="Calibri"/>
          <w:bCs/>
          <w:szCs w:val="24"/>
        </w:rPr>
        <w:t xml:space="preserve"> According to the Ethiopian Standard Authority and the Asella Malt Factory (AMF), the protein level of the raw barley quality standard for malt should be between 9-12.5% (EQSA, 2006). However, the grain </w:t>
      </w:r>
      <w:r>
        <w:rPr>
          <w:rFonts w:eastAsia="Calibri"/>
          <w:bCs/>
          <w:szCs w:val="24"/>
        </w:rPr>
        <w:lastRenderedPageBreak/>
        <w:t>protein at the Bekoji site was within the acceptable standard range for malt purposes, while at the Kofele sites it was not within the acceptable range (</w:t>
      </w:r>
      <w:r>
        <w:rPr>
          <w:rFonts w:eastAsia="Calibri"/>
          <w:b/>
          <w:bCs/>
          <w:szCs w:val="24"/>
        </w:rPr>
        <w:t>Tables 7 and Table 8</w:t>
      </w:r>
      <w:r>
        <w:rPr>
          <w:rFonts w:eastAsia="Calibri"/>
          <w:bCs/>
          <w:szCs w:val="24"/>
        </w:rPr>
        <w:t>).</w:t>
      </w:r>
    </w:p>
    <w:p w:rsidR="00355376" w:rsidRPr="000C3750" w:rsidRDefault="00355376" w:rsidP="00355376">
      <w:pPr>
        <w:spacing w:after="0" w:line="360" w:lineRule="auto"/>
        <w:jc w:val="both"/>
        <w:rPr>
          <w:b/>
          <w:szCs w:val="24"/>
        </w:rPr>
      </w:pPr>
      <w:r>
        <w:rPr>
          <w:b/>
          <w:szCs w:val="24"/>
        </w:rPr>
        <w:t xml:space="preserve">Table 5. Main effect of phosphorus rates, lime rates and location on the </w:t>
      </w:r>
      <w:r>
        <w:rPr>
          <w:b/>
        </w:rPr>
        <w:t>sieve size test</w:t>
      </w:r>
      <w:r>
        <w:rPr>
          <w:b/>
          <w:szCs w:val="24"/>
        </w:rPr>
        <w:t xml:space="preserve"> of malt barley at the Bekoji and Kofele locations</w:t>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1620"/>
        <w:gridCol w:w="2070"/>
        <w:gridCol w:w="1980"/>
        <w:gridCol w:w="1710"/>
      </w:tblGrid>
      <w:tr w:rsidR="00355376" w:rsidRPr="000C3750" w:rsidTr="00C46767">
        <w:trPr>
          <w:trHeight w:val="380"/>
        </w:trPr>
        <w:tc>
          <w:tcPr>
            <w:tcW w:w="1710" w:type="dxa"/>
            <w:vMerge w:val="restart"/>
            <w:tcBorders>
              <w:top w:val="single" w:sz="12" w:space="0" w:color="auto"/>
            </w:tcBorders>
            <w:vAlign w:val="center"/>
          </w:tcPr>
          <w:p w:rsidR="00355376" w:rsidRPr="000C3750" w:rsidRDefault="00355376" w:rsidP="00C46767">
            <w:pPr>
              <w:jc w:val="center"/>
              <w:rPr>
                <w:b/>
                <w:szCs w:val="24"/>
              </w:rPr>
            </w:pPr>
          </w:p>
          <w:p w:rsidR="00355376" w:rsidRPr="000C3750" w:rsidRDefault="00355376" w:rsidP="00C46767">
            <w:pPr>
              <w:jc w:val="center"/>
              <w:rPr>
                <w:b/>
                <w:szCs w:val="24"/>
              </w:rPr>
            </w:pPr>
            <w:r w:rsidRPr="000C3750">
              <w:rPr>
                <w:b/>
                <w:szCs w:val="24"/>
              </w:rPr>
              <w:t>Location</w:t>
            </w:r>
          </w:p>
        </w:tc>
        <w:tc>
          <w:tcPr>
            <w:tcW w:w="1620" w:type="dxa"/>
            <w:tcBorders>
              <w:top w:val="single" w:sz="12" w:space="0" w:color="auto"/>
              <w:bottom w:val="single" w:sz="12" w:space="0" w:color="auto"/>
            </w:tcBorders>
            <w:vAlign w:val="bottom"/>
          </w:tcPr>
          <w:p w:rsidR="00355376" w:rsidRPr="000C3750" w:rsidRDefault="00355376" w:rsidP="00C46767">
            <w:pPr>
              <w:jc w:val="center"/>
              <w:rPr>
                <w:b/>
                <w:bCs/>
                <w:szCs w:val="24"/>
              </w:rPr>
            </w:pPr>
            <w:r w:rsidRPr="000C3750">
              <w:rPr>
                <w:b/>
                <w:szCs w:val="24"/>
              </w:rPr>
              <w:t>Sieve</w:t>
            </w:r>
            <w:r w:rsidRPr="000C3750">
              <w:rPr>
                <w:b/>
                <w:bCs/>
                <w:szCs w:val="24"/>
              </w:rPr>
              <w:t xml:space="preserve"> size (%)</w:t>
            </w:r>
          </w:p>
          <w:p w:rsidR="00355376" w:rsidRPr="000C3750" w:rsidRDefault="00355376" w:rsidP="00C46767">
            <w:pPr>
              <w:jc w:val="center"/>
              <w:rPr>
                <w:b/>
                <w:bCs/>
                <w:szCs w:val="24"/>
              </w:rPr>
            </w:pPr>
            <w:r w:rsidRPr="000C3750">
              <w:rPr>
                <w:rFonts w:eastAsia="Times New Roman"/>
                <w:b/>
                <w:bCs/>
                <w:szCs w:val="24"/>
              </w:rPr>
              <w:t>(&gt;2.8mm)</w:t>
            </w:r>
          </w:p>
        </w:tc>
        <w:tc>
          <w:tcPr>
            <w:tcW w:w="2070" w:type="dxa"/>
            <w:tcBorders>
              <w:top w:val="single" w:sz="12" w:space="0" w:color="auto"/>
              <w:bottom w:val="single" w:sz="12" w:space="0" w:color="auto"/>
            </w:tcBorders>
            <w:vAlign w:val="bottom"/>
          </w:tcPr>
          <w:p w:rsidR="00355376" w:rsidRPr="000C3750" w:rsidRDefault="00355376" w:rsidP="00C46767">
            <w:pPr>
              <w:jc w:val="center"/>
              <w:rPr>
                <w:b/>
                <w:bCs/>
                <w:szCs w:val="24"/>
              </w:rPr>
            </w:pPr>
            <w:r w:rsidRPr="000C3750">
              <w:rPr>
                <w:b/>
                <w:szCs w:val="24"/>
              </w:rPr>
              <w:t>Sieve</w:t>
            </w:r>
            <w:r w:rsidRPr="000C3750">
              <w:rPr>
                <w:b/>
                <w:bCs/>
                <w:szCs w:val="24"/>
              </w:rPr>
              <w:t xml:space="preserve"> size (%)</w:t>
            </w:r>
          </w:p>
          <w:p w:rsidR="00355376" w:rsidRPr="000C3750" w:rsidRDefault="00355376" w:rsidP="00C46767">
            <w:pPr>
              <w:jc w:val="center"/>
              <w:rPr>
                <w:b/>
                <w:bCs/>
                <w:szCs w:val="24"/>
              </w:rPr>
            </w:pPr>
            <w:r w:rsidRPr="000C3750">
              <w:rPr>
                <w:rFonts w:eastAsia="Times New Roman"/>
                <w:b/>
                <w:bCs/>
                <w:szCs w:val="24"/>
              </w:rPr>
              <w:t xml:space="preserve"> (&gt;2.5mm)</w:t>
            </w:r>
          </w:p>
        </w:tc>
        <w:tc>
          <w:tcPr>
            <w:tcW w:w="1980" w:type="dxa"/>
            <w:tcBorders>
              <w:top w:val="single" w:sz="12" w:space="0" w:color="auto"/>
              <w:bottom w:val="single" w:sz="12" w:space="0" w:color="auto"/>
            </w:tcBorders>
            <w:vAlign w:val="bottom"/>
          </w:tcPr>
          <w:p w:rsidR="00355376" w:rsidRPr="000C3750" w:rsidRDefault="00355376" w:rsidP="00C46767">
            <w:pPr>
              <w:jc w:val="center"/>
              <w:rPr>
                <w:b/>
                <w:bCs/>
                <w:szCs w:val="24"/>
              </w:rPr>
            </w:pPr>
            <w:r w:rsidRPr="000C3750">
              <w:rPr>
                <w:b/>
                <w:szCs w:val="24"/>
              </w:rPr>
              <w:t>Sieve</w:t>
            </w:r>
            <w:r w:rsidRPr="000C3750">
              <w:rPr>
                <w:b/>
                <w:bCs/>
                <w:szCs w:val="24"/>
              </w:rPr>
              <w:t xml:space="preserve"> size (%)</w:t>
            </w:r>
          </w:p>
          <w:p w:rsidR="00355376" w:rsidRPr="000C3750" w:rsidRDefault="00355376" w:rsidP="00C46767">
            <w:pPr>
              <w:jc w:val="center"/>
              <w:rPr>
                <w:b/>
                <w:bCs/>
                <w:szCs w:val="24"/>
              </w:rPr>
            </w:pPr>
            <w:r w:rsidRPr="000C3750">
              <w:rPr>
                <w:rFonts w:eastAsia="Times New Roman"/>
                <w:b/>
                <w:bCs/>
                <w:szCs w:val="24"/>
              </w:rPr>
              <w:t xml:space="preserve"> (&gt;2.2mm)</w:t>
            </w:r>
          </w:p>
        </w:tc>
        <w:tc>
          <w:tcPr>
            <w:tcW w:w="1710" w:type="dxa"/>
            <w:tcBorders>
              <w:top w:val="single" w:sz="12" w:space="0" w:color="auto"/>
              <w:bottom w:val="single" w:sz="12" w:space="0" w:color="auto"/>
            </w:tcBorders>
            <w:vAlign w:val="bottom"/>
          </w:tcPr>
          <w:p w:rsidR="00355376" w:rsidRPr="000C3750" w:rsidRDefault="00355376" w:rsidP="00C46767">
            <w:pPr>
              <w:jc w:val="center"/>
              <w:rPr>
                <w:b/>
                <w:bCs/>
                <w:szCs w:val="24"/>
              </w:rPr>
            </w:pPr>
            <w:r w:rsidRPr="000C3750">
              <w:rPr>
                <w:b/>
                <w:szCs w:val="24"/>
              </w:rPr>
              <w:t>Sieve</w:t>
            </w:r>
            <w:r w:rsidRPr="000C3750">
              <w:rPr>
                <w:b/>
                <w:bCs/>
                <w:szCs w:val="24"/>
              </w:rPr>
              <w:t xml:space="preserve"> size (%)</w:t>
            </w:r>
          </w:p>
          <w:p w:rsidR="00355376" w:rsidRPr="000C3750" w:rsidRDefault="00355376" w:rsidP="00C46767">
            <w:pPr>
              <w:jc w:val="center"/>
              <w:rPr>
                <w:b/>
                <w:bCs/>
                <w:szCs w:val="24"/>
              </w:rPr>
            </w:pPr>
            <w:r w:rsidRPr="000C3750">
              <w:rPr>
                <w:rFonts w:eastAsia="Times New Roman"/>
                <w:b/>
                <w:bCs/>
                <w:szCs w:val="24"/>
              </w:rPr>
              <w:t xml:space="preserve"> (</w:t>
            </w:r>
            <w:r w:rsidRPr="000C3750">
              <w:rPr>
                <w:rFonts w:eastAsia="Times New Roman"/>
                <w:b/>
                <w:bCs/>
                <w:szCs w:val="24"/>
                <w:lang w:val="am-ET"/>
              </w:rPr>
              <w:t>&lt;</w:t>
            </w:r>
            <w:r w:rsidRPr="000C3750">
              <w:rPr>
                <w:rFonts w:eastAsia="Times New Roman"/>
                <w:b/>
                <w:bCs/>
                <w:szCs w:val="24"/>
              </w:rPr>
              <w:t>2.2mm )</w:t>
            </w:r>
          </w:p>
        </w:tc>
      </w:tr>
      <w:tr w:rsidR="00355376" w:rsidRPr="000C3750" w:rsidTr="00C46767">
        <w:trPr>
          <w:trHeight w:val="51"/>
        </w:trPr>
        <w:tc>
          <w:tcPr>
            <w:tcW w:w="1710" w:type="dxa"/>
            <w:vMerge/>
          </w:tcPr>
          <w:p w:rsidR="00355376" w:rsidRPr="000C3750" w:rsidRDefault="00355376" w:rsidP="00C46767">
            <w:pPr>
              <w:rPr>
                <w:szCs w:val="24"/>
              </w:rPr>
            </w:pPr>
          </w:p>
        </w:tc>
        <w:tc>
          <w:tcPr>
            <w:tcW w:w="1620" w:type="dxa"/>
            <w:tcBorders>
              <w:top w:val="single" w:sz="12" w:space="0" w:color="auto"/>
            </w:tcBorders>
          </w:tcPr>
          <w:p w:rsidR="00355376" w:rsidRPr="000C3750" w:rsidRDefault="00355376" w:rsidP="00C46767">
            <w:pPr>
              <w:rPr>
                <w:szCs w:val="24"/>
              </w:rPr>
            </w:pPr>
          </w:p>
        </w:tc>
        <w:tc>
          <w:tcPr>
            <w:tcW w:w="2070" w:type="dxa"/>
            <w:tcBorders>
              <w:top w:val="single" w:sz="12" w:space="0" w:color="auto"/>
            </w:tcBorders>
          </w:tcPr>
          <w:p w:rsidR="00355376" w:rsidRPr="000C3750" w:rsidRDefault="00355376" w:rsidP="00C46767">
            <w:pPr>
              <w:rPr>
                <w:szCs w:val="24"/>
              </w:rPr>
            </w:pPr>
          </w:p>
        </w:tc>
        <w:tc>
          <w:tcPr>
            <w:tcW w:w="1980" w:type="dxa"/>
            <w:tcBorders>
              <w:top w:val="single" w:sz="12" w:space="0" w:color="auto"/>
            </w:tcBorders>
          </w:tcPr>
          <w:p w:rsidR="00355376" w:rsidRPr="000C3750" w:rsidRDefault="00355376" w:rsidP="00C46767">
            <w:pPr>
              <w:rPr>
                <w:szCs w:val="24"/>
              </w:rPr>
            </w:pPr>
          </w:p>
        </w:tc>
        <w:tc>
          <w:tcPr>
            <w:tcW w:w="1710" w:type="dxa"/>
            <w:tcBorders>
              <w:top w:val="single" w:sz="12" w:space="0" w:color="auto"/>
            </w:tcBorders>
          </w:tcPr>
          <w:p w:rsidR="00355376" w:rsidRPr="000C3750" w:rsidRDefault="00355376" w:rsidP="00C46767">
            <w:pPr>
              <w:rPr>
                <w:szCs w:val="24"/>
              </w:rPr>
            </w:pPr>
          </w:p>
        </w:tc>
      </w:tr>
      <w:tr w:rsidR="00355376" w:rsidRPr="000C3750" w:rsidTr="00C46767">
        <w:tc>
          <w:tcPr>
            <w:tcW w:w="1710" w:type="dxa"/>
          </w:tcPr>
          <w:p w:rsidR="00355376" w:rsidRPr="000C3750" w:rsidRDefault="00355376" w:rsidP="00C46767">
            <w:pPr>
              <w:rPr>
                <w:szCs w:val="24"/>
              </w:rPr>
            </w:pPr>
            <w:r w:rsidRPr="000C3750">
              <w:rPr>
                <w:szCs w:val="24"/>
              </w:rPr>
              <w:t>Kofele</w:t>
            </w:r>
          </w:p>
        </w:tc>
        <w:tc>
          <w:tcPr>
            <w:tcW w:w="1620" w:type="dxa"/>
            <w:vAlign w:val="bottom"/>
          </w:tcPr>
          <w:p w:rsidR="00355376" w:rsidRPr="000C3750" w:rsidRDefault="00355376" w:rsidP="00C46767">
            <w:pPr>
              <w:jc w:val="center"/>
              <w:rPr>
                <w:szCs w:val="24"/>
              </w:rPr>
            </w:pPr>
            <w:r w:rsidRPr="000C3750">
              <w:rPr>
                <w:szCs w:val="24"/>
              </w:rPr>
              <w:t>31.9b</w:t>
            </w:r>
          </w:p>
        </w:tc>
        <w:tc>
          <w:tcPr>
            <w:tcW w:w="2070" w:type="dxa"/>
            <w:vAlign w:val="bottom"/>
          </w:tcPr>
          <w:p w:rsidR="00355376" w:rsidRPr="000C3750" w:rsidRDefault="00355376" w:rsidP="00C46767">
            <w:pPr>
              <w:jc w:val="center"/>
              <w:rPr>
                <w:szCs w:val="24"/>
              </w:rPr>
            </w:pPr>
            <w:r w:rsidRPr="000C3750">
              <w:rPr>
                <w:szCs w:val="24"/>
              </w:rPr>
              <w:t>42.3a</w:t>
            </w:r>
          </w:p>
        </w:tc>
        <w:tc>
          <w:tcPr>
            <w:tcW w:w="1980" w:type="dxa"/>
            <w:vAlign w:val="bottom"/>
          </w:tcPr>
          <w:p w:rsidR="00355376" w:rsidRPr="000C3750" w:rsidRDefault="00355376" w:rsidP="00C46767">
            <w:pPr>
              <w:jc w:val="center"/>
              <w:rPr>
                <w:szCs w:val="24"/>
              </w:rPr>
            </w:pPr>
            <w:r w:rsidRPr="000C3750">
              <w:rPr>
                <w:szCs w:val="24"/>
              </w:rPr>
              <w:t>20.3a</w:t>
            </w:r>
          </w:p>
        </w:tc>
        <w:tc>
          <w:tcPr>
            <w:tcW w:w="1710" w:type="dxa"/>
            <w:vAlign w:val="bottom"/>
          </w:tcPr>
          <w:p w:rsidR="00355376" w:rsidRPr="000C3750" w:rsidRDefault="00355376" w:rsidP="00C46767">
            <w:pPr>
              <w:jc w:val="center"/>
              <w:rPr>
                <w:szCs w:val="24"/>
              </w:rPr>
            </w:pPr>
            <w:r w:rsidRPr="000C3750">
              <w:rPr>
                <w:szCs w:val="24"/>
              </w:rPr>
              <w:t>5.5a</w:t>
            </w:r>
          </w:p>
        </w:tc>
      </w:tr>
      <w:tr w:rsidR="00355376" w:rsidRPr="000C3750" w:rsidTr="00C46767">
        <w:tc>
          <w:tcPr>
            <w:tcW w:w="1710" w:type="dxa"/>
          </w:tcPr>
          <w:p w:rsidR="00355376" w:rsidRPr="000C3750" w:rsidRDefault="00355376" w:rsidP="00C46767">
            <w:pPr>
              <w:rPr>
                <w:szCs w:val="24"/>
              </w:rPr>
            </w:pPr>
            <w:r w:rsidRPr="000C3750">
              <w:rPr>
                <w:szCs w:val="24"/>
              </w:rPr>
              <w:t>Bekoji</w:t>
            </w:r>
          </w:p>
        </w:tc>
        <w:tc>
          <w:tcPr>
            <w:tcW w:w="1620" w:type="dxa"/>
            <w:vAlign w:val="bottom"/>
          </w:tcPr>
          <w:p w:rsidR="00355376" w:rsidRPr="000C3750" w:rsidRDefault="00355376" w:rsidP="00C46767">
            <w:pPr>
              <w:jc w:val="center"/>
              <w:rPr>
                <w:szCs w:val="24"/>
              </w:rPr>
            </w:pPr>
            <w:r w:rsidRPr="000C3750">
              <w:rPr>
                <w:szCs w:val="24"/>
              </w:rPr>
              <w:t>72.0a</w:t>
            </w:r>
          </w:p>
        </w:tc>
        <w:tc>
          <w:tcPr>
            <w:tcW w:w="2070" w:type="dxa"/>
            <w:vAlign w:val="bottom"/>
          </w:tcPr>
          <w:p w:rsidR="00355376" w:rsidRPr="000C3750" w:rsidRDefault="00355376" w:rsidP="00C46767">
            <w:pPr>
              <w:jc w:val="center"/>
              <w:rPr>
                <w:szCs w:val="24"/>
              </w:rPr>
            </w:pPr>
            <w:r w:rsidRPr="000C3750">
              <w:rPr>
                <w:szCs w:val="24"/>
              </w:rPr>
              <w:t>19.9b</w:t>
            </w:r>
          </w:p>
        </w:tc>
        <w:tc>
          <w:tcPr>
            <w:tcW w:w="1980" w:type="dxa"/>
            <w:vAlign w:val="bottom"/>
          </w:tcPr>
          <w:p w:rsidR="00355376" w:rsidRPr="000C3750" w:rsidRDefault="00355376" w:rsidP="00C46767">
            <w:pPr>
              <w:jc w:val="center"/>
              <w:rPr>
                <w:szCs w:val="24"/>
              </w:rPr>
            </w:pPr>
            <w:r w:rsidRPr="000C3750">
              <w:rPr>
                <w:szCs w:val="24"/>
              </w:rPr>
              <w:t>6.3b</w:t>
            </w:r>
          </w:p>
        </w:tc>
        <w:tc>
          <w:tcPr>
            <w:tcW w:w="1710" w:type="dxa"/>
            <w:vAlign w:val="bottom"/>
          </w:tcPr>
          <w:p w:rsidR="00355376" w:rsidRPr="000C3750" w:rsidRDefault="00355376" w:rsidP="00C46767">
            <w:pPr>
              <w:jc w:val="center"/>
              <w:rPr>
                <w:szCs w:val="24"/>
              </w:rPr>
            </w:pPr>
            <w:r w:rsidRPr="000C3750">
              <w:rPr>
                <w:szCs w:val="24"/>
              </w:rPr>
              <w:t>1.8b</w:t>
            </w:r>
          </w:p>
        </w:tc>
      </w:tr>
      <w:tr w:rsidR="00355376" w:rsidRPr="000C3750" w:rsidTr="00C46767">
        <w:tc>
          <w:tcPr>
            <w:tcW w:w="1710" w:type="dxa"/>
          </w:tcPr>
          <w:p w:rsidR="00355376" w:rsidRPr="000C3750" w:rsidRDefault="00355376" w:rsidP="00C46767">
            <w:pPr>
              <w:rPr>
                <w:szCs w:val="24"/>
              </w:rPr>
            </w:pPr>
            <w:r w:rsidRPr="000C3750">
              <w:rPr>
                <w:szCs w:val="24"/>
              </w:rPr>
              <w:t>Lime(t ha</w:t>
            </w:r>
            <w:r w:rsidRPr="000C3750">
              <w:rPr>
                <w:szCs w:val="24"/>
                <w:vertAlign w:val="superscript"/>
              </w:rPr>
              <w:t>-1</w:t>
            </w:r>
            <w:r w:rsidRPr="000C3750">
              <w:rPr>
                <w:szCs w:val="24"/>
              </w:rPr>
              <w:t>)</w:t>
            </w:r>
          </w:p>
        </w:tc>
        <w:tc>
          <w:tcPr>
            <w:tcW w:w="1620" w:type="dxa"/>
            <w:vAlign w:val="bottom"/>
          </w:tcPr>
          <w:p w:rsidR="00355376" w:rsidRPr="000C3750" w:rsidRDefault="00355376" w:rsidP="00C46767">
            <w:pPr>
              <w:jc w:val="center"/>
              <w:rPr>
                <w:szCs w:val="24"/>
              </w:rPr>
            </w:pPr>
          </w:p>
        </w:tc>
        <w:tc>
          <w:tcPr>
            <w:tcW w:w="2070" w:type="dxa"/>
            <w:vAlign w:val="bottom"/>
          </w:tcPr>
          <w:p w:rsidR="00355376" w:rsidRPr="000C3750" w:rsidRDefault="00355376" w:rsidP="00C46767">
            <w:pPr>
              <w:jc w:val="center"/>
              <w:rPr>
                <w:szCs w:val="24"/>
              </w:rPr>
            </w:pPr>
          </w:p>
        </w:tc>
        <w:tc>
          <w:tcPr>
            <w:tcW w:w="1980" w:type="dxa"/>
            <w:vAlign w:val="bottom"/>
          </w:tcPr>
          <w:p w:rsidR="00355376" w:rsidRPr="000C3750" w:rsidRDefault="00355376" w:rsidP="00C46767">
            <w:pPr>
              <w:jc w:val="center"/>
              <w:rPr>
                <w:szCs w:val="24"/>
              </w:rPr>
            </w:pPr>
          </w:p>
        </w:tc>
        <w:tc>
          <w:tcPr>
            <w:tcW w:w="1710" w:type="dxa"/>
            <w:vAlign w:val="bottom"/>
          </w:tcPr>
          <w:p w:rsidR="00355376" w:rsidRPr="000C3750" w:rsidRDefault="00355376" w:rsidP="00C46767">
            <w:pPr>
              <w:jc w:val="center"/>
              <w:rPr>
                <w:szCs w:val="24"/>
              </w:rPr>
            </w:pPr>
          </w:p>
        </w:tc>
      </w:tr>
      <w:tr w:rsidR="00355376" w:rsidRPr="000C3750" w:rsidTr="00C46767">
        <w:tc>
          <w:tcPr>
            <w:tcW w:w="1710" w:type="dxa"/>
          </w:tcPr>
          <w:p w:rsidR="00355376" w:rsidRPr="000C3750" w:rsidRDefault="00355376" w:rsidP="00C46767">
            <w:pPr>
              <w:rPr>
                <w:szCs w:val="24"/>
              </w:rPr>
            </w:pPr>
            <w:r w:rsidRPr="000C3750">
              <w:rPr>
                <w:szCs w:val="24"/>
              </w:rPr>
              <w:t>0</w:t>
            </w:r>
          </w:p>
        </w:tc>
        <w:tc>
          <w:tcPr>
            <w:tcW w:w="1620" w:type="dxa"/>
            <w:vAlign w:val="bottom"/>
          </w:tcPr>
          <w:p w:rsidR="00355376" w:rsidRPr="000C3750" w:rsidRDefault="00355376" w:rsidP="00C46767">
            <w:pPr>
              <w:jc w:val="center"/>
              <w:rPr>
                <w:szCs w:val="24"/>
              </w:rPr>
            </w:pPr>
            <w:r w:rsidRPr="000C3750">
              <w:rPr>
                <w:szCs w:val="24"/>
              </w:rPr>
              <w:t>52.8</w:t>
            </w:r>
          </w:p>
        </w:tc>
        <w:tc>
          <w:tcPr>
            <w:tcW w:w="2070" w:type="dxa"/>
            <w:vAlign w:val="bottom"/>
          </w:tcPr>
          <w:p w:rsidR="00355376" w:rsidRPr="000C3750" w:rsidRDefault="00355376" w:rsidP="00C46767">
            <w:pPr>
              <w:jc w:val="center"/>
              <w:rPr>
                <w:szCs w:val="24"/>
              </w:rPr>
            </w:pPr>
            <w:r w:rsidRPr="000C3750">
              <w:rPr>
                <w:szCs w:val="24"/>
              </w:rPr>
              <w:t>52.8</w:t>
            </w:r>
          </w:p>
        </w:tc>
        <w:tc>
          <w:tcPr>
            <w:tcW w:w="1980" w:type="dxa"/>
            <w:vAlign w:val="bottom"/>
          </w:tcPr>
          <w:p w:rsidR="00355376" w:rsidRPr="000C3750" w:rsidRDefault="00355376" w:rsidP="00C46767">
            <w:pPr>
              <w:jc w:val="center"/>
              <w:rPr>
                <w:szCs w:val="24"/>
              </w:rPr>
            </w:pPr>
            <w:r w:rsidRPr="000C3750">
              <w:rPr>
                <w:szCs w:val="24"/>
              </w:rPr>
              <w:t>12.9</w:t>
            </w:r>
          </w:p>
        </w:tc>
        <w:tc>
          <w:tcPr>
            <w:tcW w:w="1710" w:type="dxa"/>
            <w:vAlign w:val="bottom"/>
          </w:tcPr>
          <w:p w:rsidR="00355376" w:rsidRPr="000C3750" w:rsidRDefault="00355376" w:rsidP="00C46767">
            <w:pPr>
              <w:jc w:val="center"/>
              <w:rPr>
                <w:szCs w:val="24"/>
              </w:rPr>
            </w:pPr>
            <w:r w:rsidRPr="000C3750">
              <w:rPr>
                <w:szCs w:val="24"/>
              </w:rPr>
              <w:t>3.6</w:t>
            </w:r>
          </w:p>
        </w:tc>
      </w:tr>
      <w:tr w:rsidR="00355376" w:rsidRPr="000C3750" w:rsidTr="00C46767">
        <w:tc>
          <w:tcPr>
            <w:tcW w:w="1710" w:type="dxa"/>
          </w:tcPr>
          <w:p w:rsidR="00355376" w:rsidRPr="000C3750" w:rsidRDefault="00355376" w:rsidP="00C46767">
            <w:pPr>
              <w:rPr>
                <w:szCs w:val="24"/>
              </w:rPr>
            </w:pPr>
            <w:r w:rsidRPr="000C3750">
              <w:rPr>
                <w:szCs w:val="24"/>
              </w:rPr>
              <w:t>1.5</w:t>
            </w:r>
          </w:p>
        </w:tc>
        <w:tc>
          <w:tcPr>
            <w:tcW w:w="1620" w:type="dxa"/>
            <w:vAlign w:val="bottom"/>
          </w:tcPr>
          <w:p w:rsidR="00355376" w:rsidRPr="000C3750" w:rsidRDefault="00355376" w:rsidP="00C46767">
            <w:pPr>
              <w:jc w:val="center"/>
              <w:rPr>
                <w:szCs w:val="24"/>
              </w:rPr>
            </w:pPr>
            <w:r w:rsidRPr="000C3750">
              <w:rPr>
                <w:szCs w:val="24"/>
              </w:rPr>
              <w:t>51.5</w:t>
            </w:r>
          </w:p>
        </w:tc>
        <w:tc>
          <w:tcPr>
            <w:tcW w:w="2070" w:type="dxa"/>
            <w:vAlign w:val="bottom"/>
          </w:tcPr>
          <w:p w:rsidR="00355376" w:rsidRPr="000C3750" w:rsidRDefault="00355376" w:rsidP="00C46767">
            <w:pPr>
              <w:jc w:val="center"/>
              <w:rPr>
                <w:szCs w:val="24"/>
              </w:rPr>
            </w:pPr>
            <w:r w:rsidRPr="000C3750">
              <w:rPr>
                <w:szCs w:val="24"/>
              </w:rPr>
              <w:t>51.5</w:t>
            </w:r>
          </w:p>
        </w:tc>
        <w:tc>
          <w:tcPr>
            <w:tcW w:w="1980" w:type="dxa"/>
            <w:vAlign w:val="bottom"/>
          </w:tcPr>
          <w:p w:rsidR="00355376" w:rsidRPr="000C3750" w:rsidRDefault="00355376" w:rsidP="00C46767">
            <w:pPr>
              <w:jc w:val="center"/>
              <w:rPr>
                <w:szCs w:val="24"/>
              </w:rPr>
            </w:pPr>
            <w:r w:rsidRPr="000C3750">
              <w:rPr>
                <w:szCs w:val="24"/>
              </w:rPr>
              <w:t>13.4</w:t>
            </w:r>
          </w:p>
        </w:tc>
        <w:tc>
          <w:tcPr>
            <w:tcW w:w="1710" w:type="dxa"/>
            <w:vAlign w:val="bottom"/>
          </w:tcPr>
          <w:p w:rsidR="00355376" w:rsidRPr="000C3750" w:rsidRDefault="00355376" w:rsidP="00C46767">
            <w:pPr>
              <w:jc w:val="center"/>
              <w:rPr>
                <w:szCs w:val="24"/>
              </w:rPr>
            </w:pPr>
            <w:r w:rsidRPr="000C3750">
              <w:rPr>
                <w:szCs w:val="24"/>
              </w:rPr>
              <w:t>4.1</w:t>
            </w:r>
          </w:p>
        </w:tc>
      </w:tr>
      <w:tr w:rsidR="00355376" w:rsidRPr="000C3750" w:rsidTr="00C46767">
        <w:tc>
          <w:tcPr>
            <w:tcW w:w="1710" w:type="dxa"/>
          </w:tcPr>
          <w:p w:rsidR="00355376" w:rsidRPr="000C3750" w:rsidRDefault="00355376" w:rsidP="00C46767">
            <w:pPr>
              <w:rPr>
                <w:szCs w:val="24"/>
              </w:rPr>
            </w:pPr>
            <w:r w:rsidRPr="000C3750">
              <w:rPr>
                <w:szCs w:val="24"/>
              </w:rPr>
              <w:t>3.0</w:t>
            </w:r>
          </w:p>
        </w:tc>
        <w:tc>
          <w:tcPr>
            <w:tcW w:w="1620" w:type="dxa"/>
            <w:vAlign w:val="bottom"/>
          </w:tcPr>
          <w:p w:rsidR="00355376" w:rsidRPr="000C3750" w:rsidRDefault="00355376" w:rsidP="00C46767">
            <w:pPr>
              <w:jc w:val="center"/>
              <w:rPr>
                <w:szCs w:val="24"/>
              </w:rPr>
            </w:pPr>
            <w:r w:rsidRPr="000C3750">
              <w:rPr>
                <w:szCs w:val="24"/>
              </w:rPr>
              <w:t>51.6</w:t>
            </w:r>
          </w:p>
        </w:tc>
        <w:tc>
          <w:tcPr>
            <w:tcW w:w="2070" w:type="dxa"/>
            <w:vAlign w:val="bottom"/>
          </w:tcPr>
          <w:p w:rsidR="00355376" w:rsidRPr="000C3750" w:rsidRDefault="00355376" w:rsidP="00C46767">
            <w:pPr>
              <w:jc w:val="center"/>
              <w:rPr>
                <w:szCs w:val="24"/>
              </w:rPr>
            </w:pPr>
            <w:r w:rsidRPr="000C3750">
              <w:rPr>
                <w:szCs w:val="24"/>
              </w:rPr>
              <w:t>51.6</w:t>
            </w:r>
          </w:p>
        </w:tc>
        <w:tc>
          <w:tcPr>
            <w:tcW w:w="1980" w:type="dxa"/>
            <w:vAlign w:val="bottom"/>
          </w:tcPr>
          <w:p w:rsidR="00355376" w:rsidRPr="000C3750" w:rsidRDefault="00355376" w:rsidP="00C46767">
            <w:pPr>
              <w:jc w:val="center"/>
              <w:rPr>
                <w:szCs w:val="24"/>
              </w:rPr>
            </w:pPr>
            <w:r w:rsidRPr="000C3750">
              <w:rPr>
                <w:szCs w:val="24"/>
              </w:rPr>
              <w:t>13.5</w:t>
            </w:r>
          </w:p>
        </w:tc>
        <w:tc>
          <w:tcPr>
            <w:tcW w:w="1710" w:type="dxa"/>
            <w:vAlign w:val="bottom"/>
          </w:tcPr>
          <w:p w:rsidR="00355376" w:rsidRPr="000C3750" w:rsidRDefault="00355376" w:rsidP="00C46767">
            <w:pPr>
              <w:jc w:val="center"/>
              <w:rPr>
                <w:szCs w:val="24"/>
              </w:rPr>
            </w:pPr>
            <w:r w:rsidRPr="000C3750">
              <w:rPr>
                <w:szCs w:val="24"/>
              </w:rPr>
              <w:t>3.2</w:t>
            </w:r>
          </w:p>
        </w:tc>
      </w:tr>
      <w:tr w:rsidR="00355376" w:rsidRPr="000C3750" w:rsidTr="00C46767">
        <w:tc>
          <w:tcPr>
            <w:tcW w:w="1710" w:type="dxa"/>
          </w:tcPr>
          <w:p w:rsidR="00355376" w:rsidRPr="000C3750" w:rsidRDefault="00355376" w:rsidP="00C46767">
            <w:pPr>
              <w:rPr>
                <w:b/>
                <w:szCs w:val="24"/>
              </w:rPr>
            </w:pPr>
            <w:r w:rsidRPr="000C3750">
              <w:rPr>
                <w:b/>
                <w:szCs w:val="24"/>
              </w:rPr>
              <w:t>P level(kg ha</w:t>
            </w:r>
            <w:r w:rsidRPr="000C3750">
              <w:rPr>
                <w:b/>
                <w:szCs w:val="24"/>
                <w:vertAlign w:val="superscript"/>
              </w:rPr>
              <w:t>-1</w:t>
            </w:r>
            <w:r w:rsidRPr="000C3750">
              <w:rPr>
                <w:b/>
                <w:szCs w:val="24"/>
              </w:rPr>
              <w:t>)</w:t>
            </w:r>
            <w:r w:rsidRPr="000C3750">
              <w:rPr>
                <w:b/>
                <w:szCs w:val="24"/>
                <w:vertAlign w:val="superscript"/>
              </w:rPr>
              <w:t xml:space="preserve"> </w:t>
            </w:r>
          </w:p>
        </w:tc>
        <w:tc>
          <w:tcPr>
            <w:tcW w:w="1620" w:type="dxa"/>
            <w:vAlign w:val="bottom"/>
          </w:tcPr>
          <w:p w:rsidR="00355376" w:rsidRPr="000C3750" w:rsidRDefault="00355376" w:rsidP="00C46767">
            <w:pPr>
              <w:jc w:val="center"/>
              <w:rPr>
                <w:szCs w:val="24"/>
              </w:rPr>
            </w:pPr>
          </w:p>
        </w:tc>
        <w:tc>
          <w:tcPr>
            <w:tcW w:w="2070" w:type="dxa"/>
            <w:vAlign w:val="bottom"/>
          </w:tcPr>
          <w:p w:rsidR="00355376" w:rsidRPr="000C3750" w:rsidRDefault="00355376" w:rsidP="00C46767">
            <w:pPr>
              <w:jc w:val="center"/>
              <w:rPr>
                <w:szCs w:val="24"/>
              </w:rPr>
            </w:pPr>
          </w:p>
        </w:tc>
        <w:tc>
          <w:tcPr>
            <w:tcW w:w="1980" w:type="dxa"/>
            <w:vAlign w:val="bottom"/>
          </w:tcPr>
          <w:p w:rsidR="00355376" w:rsidRPr="000C3750" w:rsidRDefault="00355376" w:rsidP="00C46767">
            <w:pPr>
              <w:jc w:val="center"/>
              <w:rPr>
                <w:szCs w:val="24"/>
              </w:rPr>
            </w:pPr>
          </w:p>
        </w:tc>
        <w:tc>
          <w:tcPr>
            <w:tcW w:w="1710" w:type="dxa"/>
            <w:vAlign w:val="bottom"/>
          </w:tcPr>
          <w:p w:rsidR="00355376" w:rsidRPr="000C3750" w:rsidRDefault="00355376" w:rsidP="00C46767">
            <w:pPr>
              <w:jc w:val="center"/>
              <w:rPr>
                <w:szCs w:val="24"/>
              </w:rPr>
            </w:pPr>
          </w:p>
        </w:tc>
      </w:tr>
      <w:tr w:rsidR="00355376" w:rsidRPr="000C3750" w:rsidTr="00C46767">
        <w:tc>
          <w:tcPr>
            <w:tcW w:w="1710" w:type="dxa"/>
          </w:tcPr>
          <w:p w:rsidR="00355376" w:rsidRPr="000C3750" w:rsidRDefault="00355376" w:rsidP="00C46767">
            <w:pPr>
              <w:rPr>
                <w:szCs w:val="24"/>
              </w:rPr>
            </w:pPr>
            <w:r w:rsidRPr="000C3750">
              <w:rPr>
                <w:szCs w:val="24"/>
              </w:rPr>
              <w:t>0</w:t>
            </w:r>
          </w:p>
        </w:tc>
        <w:tc>
          <w:tcPr>
            <w:tcW w:w="1620" w:type="dxa"/>
            <w:vAlign w:val="bottom"/>
          </w:tcPr>
          <w:p w:rsidR="00355376" w:rsidRPr="000C3750" w:rsidRDefault="00355376" w:rsidP="00C46767">
            <w:pPr>
              <w:jc w:val="center"/>
              <w:rPr>
                <w:szCs w:val="24"/>
              </w:rPr>
            </w:pPr>
            <w:r w:rsidRPr="000C3750">
              <w:rPr>
                <w:szCs w:val="24"/>
              </w:rPr>
              <w:t>51.7</w:t>
            </w:r>
          </w:p>
        </w:tc>
        <w:tc>
          <w:tcPr>
            <w:tcW w:w="2070" w:type="dxa"/>
            <w:vAlign w:val="bottom"/>
          </w:tcPr>
          <w:p w:rsidR="00355376" w:rsidRPr="000C3750" w:rsidRDefault="00355376" w:rsidP="00C46767">
            <w:pPr>
              <w:jc w:val="center"/>
              <w:rPr>
                <w:szCs w:val="24"/>
              </w:rPr>
            </w:pPr>
            <w:r w:rsidRPr="000C3750">
              <w:rPr>
                <w:szCs w:val="24"/>
              </w:rPr>
              <w:t>32.8a</w:t>
            </w:r>
          </w:p>
        </w:tc>
        <w:tc>
          <w:tcPr>
            <w:tcW w:w="1980" w:type="dxa"/>
            <w:vAlign w:val="bottom"/>
          </w:tcPr>
          <w:p w:rsidR="00355376" w:rsidRPr="000C3750" w:rsidRDefault="00355376" w:rsidP="00C46767">
            <w:pPr>
              <w:jc w:val="center"/>
              <w:rPr>
                <w:szCs w:val="24"/>
              </w:rPr>
            </w:pPr>
            <w:r w:rsidRPr="000C3750">
              <w:rPr>
                <w:szCs w:val="24"/>
              </w:rPr>
              <w:t>12.2</w:t>
            </w:r>
          </w:p>
        </w:tc>
        <w:tc>
          <w:tcPr>
            <w:tcW w:w="1710" w:type="dxa"/>
            <w:vAlign w:val="bottom"/>
          </w:tcPr>
          <w:p w:rsidR="00355376" w:rsidRPr="000C3750" w:rsidRDefault="00355376" w:rsidP="00C46767">
            <w:pPr>
              <w:jc w:val="center"/>
              <w:rPr>
                <w:szCs w:val="24"/>
              </w:rPr>
            </w:pPr>
            <w:r w:rsidRPr="000C3750">
              <w:rPr>
                <w:szCs w:val="24"/>
              </w:rPr>
              <w:t>3.3</w:t>
            </w:r>
          </w:p>
        </w:tc>
      </w:tr>
      <w:tr w:rsidR="00355376" w:rsidRPr="000C3750" w:rsidTr="00C46767">
        <w:tc>
          <w:tcPr>
            <w:tcW w:w="1710" w:type="dxa"/>
          </w:tcPr>
          <w:p w:rsidR="00355376" w:rsidRPr="000C3750" w:rsidRDefault="00355376" w:rsidP="00C46767">
            <w:pPr>
              <w:rPr>
                <w:szCs w:val="24"/>
              </w:rPr>
            </w:pPr>
            <w:r w:rsidRPr="000C3750">
              <w:rPr>
                <w:szCs w:val="24"/>
              </w:rPr>
              <w:t>10</w:t>
            </w:r>
          </w:p>
        </w:tc>
        <w:tc>
          <w:tcPr>
            <w:tcW w:w="1620" w:type="dxa"/>
            <w:vAlign w:val="bottom"/>
          </w:tcPr>
          <w:p w:rsidR="00355376" w:rsidRPr="000C3750" w:rsidRDefault="00355376" w:rsidP="00C46767">
            <w:pPr>
              <w:jc w:val="center"/>
              <w:rPr>
                <w:szCs w:val="24"/>
              </w:rPr>
            </w:pPr>
            <w:r w:rsidRPr="000C3750">
              <w:rPr>
                <w:szCs w:val="24"/>
              </w:rPr>
              <w:t>51.6</w:t>
            </w:r>
          </w:p>
        </w:tc>
        <w:tc>
          <w:tcPr>
            <w:tcW w:w="2070" w:type="dxa"/>
            <w:vAlign w:val="bottom"/>
          </w:tcPr>
          <w:p w:rsidR="00355376" w:rsidRPr="000C3750" w:rsidRDefault="00355376" w:rsidP="00C46767">
            <w:pPr>
              <w:jc w:val="center"/>
              <w:rPr>
                <w:szCs w:val="24"/>
              </w:rPr>
            </w:pPr>
            <w:r w:rsidRPr="000C3750">
              <w:rPr>
                <w:szCs w:val="24"/>
              </w:rPr>
              <w:t>32.1ab</w:t>
            </w:r>
          </w:p>
        </w:tc>
        <w:tc>
          <w:tcPr>
            <w:tcW w:w="1980" w:type="dxa"/>
            <w:vAlign w:val="bottom"/>
          </w:tcPr>
          <w:p w:rsidR="00355376" w:rsidRPr="000C3750" w:rsidRDefault="00355376" w:rsidP="00C46767">
            <w:pPr>
              <w:jc w:val="center"/>
              <w:rPr>
                <w:szCs w:val="24"/>
              </w:rPr>
            </w:pPr>
            <w:r w:rsidRPr="000C3750">
              <w:rPr>
                <w:szCs w:val="24"/>
              </w:rPr>
              <w:t>12.7</w:t>
            </w:r>
          </w:p>
        </w:tc>
        <w:tc>
          <w:tcPr>
            <w:tcW w:w="1710" w:type="dxa"/>
            <w:vAlign w:val="bottom"/>
          </w:tcPr>
          <w:p w:rsidR="00355376" w:rsidRPr="000C3750" w:rsidRDefault="00355376" w:rsidP="00C46767">
            <w:pPr>
              <w:jc w:val="center"/>
              <w:rPr>
                <w:szCs w:val="24"/>
              </w:rPr>
            </w:pPr>
            <w:r w:rsidRPr="000C3750">
              <w:rPr>
                <w:szCs w:val="24"/>
              </w:rPr>
              <w:t>3.6</w:t>
            </w:r>
          </w:p>
        </w:tc>
      </w:tr>
      <w:tr w:rsidR="00355376" w:rsidRPr="000C3750" w:rsidTr="00C46767">
        <w:tc>
          <w:tcPr>
            <w:tcW w:w="1710" w:type="dxa"/>
          </w:tcPr>
          <w:p w:rsidR="00355376" w:rsidRPr="000C3750" w:rsidRDefault="00355376" w:rsidP="00C46767">
            <w:pPr>
              <w:rPr>
                <w:szCs w:val="24"/>
              </w:rPr>
            </w:pPr>
            <w:r w:rsidRPr="000C3750">
              <w:rPr>
                <w:szCs w:val="24"/>
              </w:rPr>
              <w:t>20</w:t>
            </w:r>
          </w:p>
        </w:tc>
        <w:tc>
          <w:tcPr>
            <w:tcW w:w="1620" w:type="dxa"/>
            <w:vAlign w:val="bottom"/>
          </w:tcPr>
          <w:p w:rsidR="00355376" w:rsidRPr="000C3750" w:rsidRDefault="00355376" w:rsidP="00C46767">
            <w:pPr>
              <w:jc w:val="center"/>
              <w:rPr>
                <w:szCs w:val="24"/>
              </w:rPr>
            </w:pPr>
            <w:r w:rsidRPr="000C3750">
              <w:rPr>
                <w:szCs w:val="24"/>
              </w:rPr>
              <w:t>52.3</w:t>
            </w:r>
          </w:p>
        </w:tc>
        <w:tc>
          <w:tcPr>
            <w:tcW w:w="2070" w:type="dxa"/>
            <w:vAlign w:val="bottom"/>
          </w:tcPr>
          <w:p w:rsidR="00355376" w:rsidRPr="000C3750" w:rsidRDefault="00355376" w:rsidP="00C46767">
            <w:pPr>
              <w:jc w:val="center"/>
              <w:rPr>
                <w:szCs w:val="24"/>
              </w:rPr>
            </w:pPr>
            <w:r w:rsidRPr="000C3750">
              <w:rPr>
                <w:szCs w:val="24"/>
              </w:rPr>
              <w:t>30.1bc</w:t>
            </w:r>
          </w:p>
        </w:tc>
        <w:tc>
          <w:tcPr>
            <w:tcW w:w="1980" w:type="dxa"/>
            <w:vAlign w:val="bottom"/>
          </w:tcPr>
          <w:p w:rsidR="00355376" w:rsidRPr="000C3750" w:rsidRDefault="00355376" w:rsidP="00C46767">
            <w:pPr>
              <w:jc w:val="center"/>
              <w:rPr>
                <w:szCs w:val="24"/>
              </w:rPr>
            </w:pPr>
            <w:r w:rsidRPr="000C3750">
              <w:rPr>
                <w:szCs w:val="24"/>
              </w:rPr>
              <w:t>13.6</w:t>
            </w:r>
          </w:p>
        </w:tc>
        <w:tc>
          <w:tcPr>
            <w:tcW w:w="1710" w:type="dxa"/>
            <w:vAlign w:val="bottom"/>
          </w:tcPr>
          <w:p w:rsidR="00355376" w:rsidRPr="000C3750" w:rsidRDefault="00355376" w:rsidP="00C46767">
            <w:pPr>
              <w:jc w:val="center"/>
              <w:rPr>
                <w:szCs w:val="24"/>
              </w:rPr>
            </w:pPr>
            <w:r w:rsidRPr="000C3750">
              <w:rPr>
                <w:szCs w:val="24"/>
              </w:rPr>
              <w:t>4.0</w:t>
            </w:r>
          </w:p>
        </w:tc>
      </w:tr>
      <w:tr w:rsidR="00355376" w:rsidRPr="000C3750" w:rsidTr="00C46767">
        <w:tc>
          <w:tcPr>
            <w:tcW w:w="1710" w:type="dxa"/>
          </w:tcPr>
          <w:p w:rsidR="00355376" w:rsidRPr="000C3750" w:rsidRDefault="00355376" w:rsidP="00C46767">
            <w:pPr>
              <w:rPr>
                <w:szCs w:val="24"/>
              </w:rPr>
            </w:pPr>
            <w:r w:rsidRPr="000C3750">
              <w:rPr>
                <w:szCs w:val="24"/>
              </w:rPr>
              <w:t>30</w:t>
            </w:r>
          </w:p>
        </w:tc>
        <w:tc>
          <w:tcPr>
            <w:tcW w:w="1620" w:type="dxa"/>
            <w:vAlign w:val="bottom"/>
          </w:tcPr>
          <w:p w:rsidR="00355376" w:rsidRPr="000C3750" w:rsidRDefault="00355376" w:rsidP="00C46767">
            <w:pPr>
              <w:jc w:val="center"/>
              <w:rPr>
                <w:szCs w:val="24"/>
              </w:rPr>
            </w:pPr>
            <w:r w:rsidRPr="000C3750">
              <w:rPr>
                <w:szCs w:val="24"/>
              </w:rPr>
              <w:t>52.2</w:t>
            </w:r>
          </w:p>
        </w:tc>
        <w:tc>
          <w:tcPr>
            <w:tcW w:w="2070" w:type="dxa"/>
            <w:vAlign w:val="bottom"/>
          </w:tcPr>
          <w:p w:rsidR="00355376" w:rsidRPr="000C3750" w:rsidRDefault="00355376" w:rsidP="00C46767">
            <w:pPr>
              <w:jc w:val="center"/>
              <w:rPr>
                <w:szCs w:val="24"/>
              </w:rPr>
            </w:pPr>
            <w:r w:rsidRPr="000C3750">
              <w:rPr>
                <w:szCs w:val="24"/>
              </w:rPr>
              <w:t>29.4c</w:t>
            </w:r>
          </w:p>
        </w:tc>
        <w:tc>
          <w:tcPr>
            <w:tcW w:w="1980" w:type="dxa"/>
            <w:vAlign w:val="bottom"/>
          </w:tcPr>
          <w:p w:rsidR="00355376" w:rsidRPr="000C3750" w:rsidRDefault="00355376" w:rsidP="00C46767">
            <w:pPr>
              <w:jc w:val="center"/>
              <w:rPr>
                <w:szCs w:val="24"/>
              </w:rPr>
            </w:pPr>
            <w:r w:rsidRPr="000C3750">
              <w:rPr>
                <w:szCs w:val="24"/>
              </w:rPr>
              <w:t>14.6</w:t>
            </w:r>
          </w:p>
        </w:tc>
        <w:tc>
          <w:tcPr>
            <w:tcW w:w="1710" w:type="dxa"/>
            <w:vAlign w:val="bottom"/>
          </w:tcPr>
          <w:p w:rsidR="00355376" w:rsidRPr="000C3750" w:rsidRDefault="00355376" w:rsidP="00C46767">
            <w:pPr>
              <w:jc w:val="center"/>
              <w:rPr>
                <w:szCs w:val="24"/>
              </w:rPr>
            </w:pPr>
            <w:r w:rsidRPr="000C3750">
              <w:rPr>
                <w:szCs w:val="24"/>
              </w:rPr>
              <w:t>3.8</w:t>
            </w:r>
          </w:p>
        </w:tc>
      </w:tr>
      <w:tr w:rsidR="00355376" w:rsidRPr="000C3750" w:rsidTr="00C46767">
        <w:trPr>
          <w:trHeight w:val="197"/>
        </w:trPr>
        <w:tc>
          <w:tcPr>
            <w:tcW w:w="1710" w:type="dxa"/>
            <w:tcBorders>
              <w:top w:val="single" w:sz="12" w:space="0" w:color="auto"/>
              <w:bottom w:val="single" w:sz="12" w:space="0" w:color="auto"/>
            </w:tcBorders>
            <w:vAlign w:val="bottom"/>
          </w:tcPr>
          <w:p w:rsidR="00355376" w:rsidRPr="000C3750" w:rsidRDefault="00355376" w:rsidP="00C46767">
            <w:pPr>
              <w:jc w:val="center"/>
              <w:rPr>
                <w:szCs w:val="24"/>
              </w:rPr>
            </w:pPr>
            <w:proofErr w:type="spellStart"/>
            <w:r w:rsidRPr="000C3750">
              <w:rPr>
                <w:szCs w:val="24"/>
              </w:rPr>
              <w:t>Cv</w:t>
            </w:r>
            <w:proofErr w:type="spellEnd"/>
            <w:r w:rsidRPr="000C3750">
              <w:rPr>
                <w:szCs w:val="24"/>
              </w:rPr>
              <w:t>(%)</w:t>
            </w:r>
          </w:p>
        </w:tc>
        <w:tc>
          <w:tcPr>
            <w:tcW w:w="1620" w:type="dxa"/>
            <w:tcBorders>
              <w:top w:val="single" w:sz="12" w:space="0" w:color="auto"/>
              <w:bottom w:val="single" w:sz="12" w:space="0" w:color="auto"/>
            </w:tcBorders>
            <w:vAlign w:val="bottom"/>
          </w:tcPr>
          <w:p w:rsidR="00355376" w:rsidRPr="000C3750" w:rsidRDefault="00355376" w:rsidP="00C46767">
            <w:pPr>
              <w:jc w:val="center"/>
              <w:rPr>
                <w:szCs w:val="24"/>
              </w:rPr>
            </w:pPr>
            <w:r w:rsidRPr="000C3750">
              <w:rPr>
                <w:szCs w:val="24"/>
              </w:rPr>
              <w:t>11.5</w:t>
            </w:r>
          </w:p>
        </w:tc>
        <w:tc>
          <w:tcPr>
            <w:tcW w:w="2070" w:type="dxa"/>
            <w:tcBorders>
              <w:top w:val="single" w:sz="12" w:space="0" w:color="auto"/>
              <w:bottom w:val="single" w:sz="12" w:space="0" w:color="auto"/>
            </w:tcBorders>
            <w:vAlign w:val="bottom"/>
          </w:tcPr>
          <w:p w:rsidR="00355376" w:rsidRPr="000C3750" w:rsidRDefault="00355376" w:rsidP="00C46767">
            <w:pPr>
              <w:jc w:val="center"/>
              <w:rPr>
                <w:szCs w:val="24"/>
              </w:rPr>
            </w:pPr>
            <w:r w:rsidRPr="000C3750">
              <w:rPr>
                <w:szCs w:val="24"/>
              </w:rPr>
              <w:t>10.7</w:t>
            </w:r>
          </w:p>
        </w:tc>
        <w:tc>
          <w:tcPr>
            <w:tcW w:w="1980" w:type="dxa"/>
            <w:tcBorders>
              <w:top w:val="single" w:sz="12" w:space="0" w:color="auto"/>
              <w:bottom w:val="single" w:sz="12" w:space="0" w:color="auto"/>
            </w:tcBorders>
            <w:vAlign w:val="bottom"/>
          </w:tcPr>
          <w:p w:rsidR="00355376" w:rsidRPr="000C3750" w:rsidRDefault="00355376" w:rsidP="00C46767">
            <w:pPr>
              <w:jc w:val="center"/>
              <w:rPr>
                <w:szCs w:val="24"/>
              </w:rPr>
            </w:pPr>
            <w:r w:rsidRPr="000C3750">
              <w:rPr>
                <w:szCs w:val="24"/>
              </w:rPr>
              <w:t>24.4</w:t>
            </w:r>
          </w:p>
        </w:tc>
        <w:tc>
          <w:tcPr>
            <w:tcW w:w="1710" w:type="dxa"/>
            <w:tcBorders>
              <w:top w:val="single" w:sz="12" w:space="0" w:color="auto"/>
              <w:bottom w:val="single" w:sz="12" w:space="0" w:color="auto"/>
            </w:tcBorders>
            <w:vAlign w:val="bottom"/>
          </w:tcPr>
          <w:p w:rsidR="00355376" w:rsidRPr="000C3750" w:rsidRDefault="00355376" w:rsidP="00C46767">
            <w:pPr>
              <w:jc w:val="center"/>
              <w:rPr>
                <w:szCs w:val="24"/>
              </w:rPr>
            </w:pPr>
            <w:r w:rsidRPr="000C3750">
              <w:rPr>
                <w:szCs w:val="24"/>
              </w:rPr>
              <w:t>37.8</w:t>
            </w:r>
          </w:p>
        </w:tc>
      </w:tr>
    </w:tbl>
    <w:p w:rsidR="00355376" w:rsidRPr="000C3750" w:rsidRDefault="00355376" w:rsidP="00355376">
      <w:pPr>
        <w:widowControl w:val="0"/>
        <w:autoSpaceDE w:val="0"/>
        <w:autoSpaceDN w:val="0"/>
        <w:adjustRightInd w:val="0"/>
        <w:spacing w:after="0" w:line="240" w:lineRule="auto"/>
        <w:jc w:val="both"/>
        <w:rPr>
          <w:b/>
          <w:sz w:val="22"/>
          <w:szCs w:val="18"/>
        </w:rPr>
      </w:pPr>
      <w:r>
        <w:rPr>
          <w:rFonts w:eastAsia="Times New Roman"/>
          <w:b/>
          <w:szCs w:val="20"/>
          <w:lang w:val="bg-BG" w:eastAsia="bg-BG"/>
        </w:rPr>
        <w:t>The means</w:t>
      </w:r>
      <w:r>
        <w:rPr>
          <w:rFonts w:eastAsia="Times New Roman"/>
          <w:b/>
          <w:spacing w:val="8"/>
          <w:szCs w:val="20"/>
          <w:lang w:val="bg-BG" w:eastAsia="bg-BG"/>
        </w:rPr>
        <w:t xml:space="preserve"> </w:t>
      </w:r>
      <w:r>
        <w:rPr>
          <w:rFonts w:eastAsia="Times New Roman"/>
          <w:b/>
          <w:szCs w:val="20"/>
          <w:lang w:val="bg-BG" w:eastAsia="bg-BG"/>
        </w:rPr>
        <w:t>followed</w:t>
      </w:r>
      <w:r>
        <w:rPr>
          <w:rFonts w:eastAsia="Times New Roman"/>
          <w:b/>
          <w:spacing w:val="7"/>
          <w:szCs w:val="20"/>
          <w:lang w:val="bg-BG" w:eastAsia="bg-BG"/>
        </w:rPr>
        <w:t xml:space="preserve"> </w:t>
      </w:r>
      <w:r>
        <w:rPr>
          <w:rFonts w:eastAsia="Times New Roman"/>
          <w:b/>
          <w:spacing w:val="3"/>
          <w:szCs w:val="20"/>
          <w:lang w:val="bg-BG" w:eastAsia="bg-BG"/>
        </w:rPr>
        <w:t>b</w:t>
      </w:r>
      <w:r>
        <w:rPr>
          <w:rFonts w:eastAsia="Times New Roman"/>
          <w:b/>
          <w:szCs w:val="20"/>
          <w:lang w:val="bg-BG" w:eastAsia="bg-BG"/>
        </w:rPr>
        <w:t>y</w:t>
      </w:r>
      <w:r>
        <w:rPr>
          <w:rFonts w:eastAsia="Times New Roman"/>
          <w:b/>
          <w:spacing w:val="8"/>
          <w:szCs w:val="20"/>
          <w:lang w:val="bg-BG" w:eastAsia="bg-BG"/>
        </w:rPr>
        <w:t xml:space="preserve"> </w:t>
      </w:r>
      <w:r>
        <w:rPr>
          <w:rFonts w:eastAsia="Times New Roman"/>
          <w:b/>
          <w:szCs w:val="20"/>
          <w:lang w:val="bg-BG" w:eastAsia="bg-BG"/>
        </w:rPr>
        <w:t>the</w:t>
      </w:r>
      <w:r>
        <w:rPr>
          <w:rFonts w:eastAsia="Times New Roman"/>
          <w:b/>
          <w:spacing w:val="7"/>
          <w:szCs w:val="20"/>
          <w:lang w:val="bg-BG" w:eastAsia="bg-BG"/>
        </w:rPr>
        <w:t xml:space="preserve"> </w:t>
      </w:r>
      <w:r>
        <w:rPr>
          <w:rFonts w:eastAsia="Times New Roman"/>
          <w:b/>
          <w:szCs w:val="20"/>
          <w:lang w:val="bg-BG" w:eastAsia="bg-BG"/>
        </w:rPr>
        <w:t>same</w:t>
      </w:r>
      <w:r>
        <w:rPr>
          <w:rFonts w:eastAsia="Times New Roman"/>
          <w:b/>
          <w:spacing w:val="7"/>
          <w:szCs w:val="20"/>
          <w:lang w:val="bg-BG" w:eastAsia="bg-BG"/>
        </w:rPr>
        <w:t xml:space="preserve"> </w:t>
      </w:r>
      <w:r>
        <w:rPr>
          <w:rFonts w:eastAsia="Times New Roman"/>
          <w:b/>
          <w:szCs w:val="20"/>
          <w:lang w:val="bg-BG" w:eastAsia="bg-BG"/>
        </w:rPr>
        <w:t>letter</w:t>
      </w:r>
      <w:r>
        <w:rPr>
          <w:rFonts w:eastAsia="Times New Roman"/>
          <w:b/>
          <w:spacing w:val="7"/>
          <w:szCs w:val="20"/>
          <w:lang w:val="bg-BG" w:eastAsia="bg-BG"/>
        </w:rPr>
        <w:t xml:space="preserve"> </w:t>
      </w:r>
      <w:r>
        <w:rPr>
          <w:rFonts w:eastAsia="Times New Roman"/>
          <w:b/>
          <w:szCs w:val="20"/>
          <w:lang w:val="bg-BG" w:eastAsia="bg-BG"/>
        </w:rPr>
        <w:t>within</w:t>
      </w:r>
      <w:r>
        <w:rPr>
          <w:rFonts w:eastAsia="Times New Roman"/>
          <w:b/>
          <w:spacing w:val="7"/>
          <w:szCs w:val="20"/>
          <w:lang w:val="bg-BG" w:eastAsia="bg-BG"/>
        </w:rPr>
        <w:t xml:space="preserve"> </w:t>
      </w:r>
      <w:r>
        <w:rPr>
          <w:rFonts w:eastAsia="Times New Roman"/>
          <w:b/>
          <w:szCs w:val="20"/>
          <w:lang w:val="bg-BG" w:eastAsia="bg-BG"/>
        </w:rPr>
        <w:t>a</w:t>
      </w:r>
      <w:r>
        <w:rPr>
          <w:rFonts w:eastAsia="Times New Roman"/>
          <w:b/>
          <w:spacing w:val="7"/>
          <w:szCs w:val="20"/>
          <w:lang w:val="bg-BG" w:eastAsia="bg-BG"/>
        </w:rPr>
        <w:t xml:space="preserve"> </w:t>
      </w:r>
      <w:r>
        <w:rPr>
          <w:rFonts w:eastAsia="Times New Roman"/>
          <w:b/>
          <w:szCs w:val="20"/>
          <w:lang w:val="bg-BG" w:eastAsia="bg-BG"/>
        </w:rPr>
        <w:t>column</w:t>
      </w:r>
      <w:r>
        <w:rPr>
          <w:rFonts w:eastAsia="Times New Roman"/>
          <w:b/>
          <w:spacing w:val="8"/>
          <w:szCs w:val="20"/>
          <w:lang w:val="bg-BG" w:eastAsia="bg-BG"/>
        </w:rPr>
        <w:t xml:space="preserve"> </w:t>
      </w:r>
      <w:r>
        <w:rPr>
          <w:rFonts w:eastAsia="Times New Roman"/>
          <w:b/>
          <w:szCs w:val="20"/>
          <w:lang w:val="bg-BG" w:eastAsia="bg-BG"/>
        </w:rPr>
        <w:t>are</w:t>
      </w:r>
      <w:r>
        <w:rPr>
          <w:rFonts w:eastAsia="Times New Roman"/>
          <w:b/>
          <w:spacing w:val="8"/>
          <w:szCs w:val="20"/>
          <w:lang w:val="bg-BG" w:eastAsia="bg-BG"/>
        </w:rPr>
        <w:t xml:space="preserve"> </w:t>
      </w:r>
      <w:r>
        <w:rPr>
          <w:rFonts w:eastAsia="Times New Roman"/>
          <w:b/>
          <w:szCs w:val="20"/>
          <w:lang w:val="bg-BG" w:eastAsia="bg-BG"/>
        </w:rPr>
        <w:t>not</w:t>
      </w:r>
      <w:r>
        <w:rPr>
          <w:rFonts w:eastAsia="Times New Roman"/>
          <w:b/>
          <w:spacing w:val="9"/>
          <w:szCs w:val="20"/>
          <w:lang w:val="bg-BG" w:eastAsia="bg-BG"/>
        </w:rPr>
        <w:t xml:space="preserve"> </w:t>
      </w:r>
      <w:r>
        <w:rPr>
          <w:rFonts w:eastAsia="Times New Roman"/>
          <w:b/>
          <w:szCs w:val="20"/>
          <w:lang w:val="bg-BG" w:eastAsia="bg-BG"/>
        </w:rPr>
        <w:t>significant</w:t>
      </w:r>
      <w:r>
        <w:rPr>
          <w:rFonts w:eastAsia="Times New Roman"/>
          <w:b/>
          <w:spacing w:val="5"/>
          <w:szCs w:val="20"/>
          <w:lang w:val="bg-BG" w:eastAsia="bg-BG"/>
        </w:rPr>
        <w:t>l</w:t>
      </w:r>
      <w:r>
        <w:rPr>
          <w:rFonts w:eastAsia="Times New Roman"/>
          <w:b/>
          <w:szCs w:val="20"/>
          <w:lang w:val="bg-BG" w:eastAsia="bg-BG"/>
        </w:rPr>
        <w:t>y</w:t>
      </w:r>
      <w:r>
        <w:rPr>
          <w:rFonts w:eastAsia="Times New Roman"/>
          <w:b/>
          <w:spacing w:val="11"/>
          <w:szCs w:val="20"/>
          <w:lang w:val="bg-BG" w:eastAsia="bg-BG"/>
        </w:rPr>
        <w:t xml:space="preserve"> </w:t>
      </w:r>
      <w:r>
        <w:rPr>
          <w:rFonts w:eastAsia="Times New Roman"/>
          <w:b/>
          <w:szCs w:val="20"/>
          <w:lang w:val="bg-BG" w:eastAsia="bg-BG"/>
        </w:rPr>
        <w:t>different</w:t>
      </w:r>
      <w:r>
        <w:rPr>
          <w:rFonts w:eastAsia="Times New Roman"/>
          <w:b/>
          <w:spacing w:val="8"/>
          <w:szCs w:val="20"/>
          <w:lang w:val="bg-BG" w:eastAsia="bg-BG"/>
        </w:rPr>
        <w:t xml:space="preserve"> </w:t>
      </w:r>
      <w:r>
        <w:rPr>
          <w:rFonts w:eastAsia="Times New Roman"/>
          <w:b/>
          <w:szCs w:val="20"/>
          <w:lang w:val="bg-BG" w:eastAsia="bg-BG"/>
        </w:rPr>
        <w:t>at the</w:t>
      </w:r>
      <w:r>
        <w:rPr>
          <w:rFonts w:eastAsia="Times New Roman"/>
          <w:b/>
          <w:spacing w:val="9"/>
          <w:szCs w:val="20"/>
          <w:lang w:val="bg-BG" w:eastAsia="bg-BG"/>
        </w:rPr>
        <w:t xml:space="preserve"> </w:t>
      </w:r>
      <w:r>
        <w:rPr>
          <w:rFonts w:eastAsia="Times New Roman"/>
          <w:b/>
          <w:szCs w:val="20"/>
          <w:lang w:val="bg-BG" w:eastAsia="bg-BG"/>
        </w:rPr>
        <w:t>5%</w:t>
      </w:r>
      <w:r>
        <w:rPr>
          <w:rFonts w:eastAsia="Times New Roman"/>
          <w:b/>
          <w:spacing w:val="7"/>
          <w:szCs w:val="20"/>
          <w:lang w:val="bg-BG" w:eastAsia="bg-BG"/>
        </w:rPr>
        <w:t xml:space="preserve"> </w:t>
      </w:r>
      <w:r>
        <w:rPr>
          <w:rFonts w:eastAsia="Times New Roman"/>
          <w:b/>
          <w:szCs w:val="20"/>
          <w:lang w:val="bg-BG" w:eastAsia="bg-BG"/>
        </w:rPr>
        <w:t>le</w:t>
      </w:r>
      <w:r>
        <w:rPr>
          <w:rFonts w:eastAsia="Times New Roman"/>
          <w:b/>
          <w:spacing w:val="1"/>
          <w:szCs w:val="20"/>
          <w:lang w:val="bg-BG" w:eastAsia="bg-BG"/>
        </w:rPr>
        <w:t>v</w:t>
      </w:r>
      <w:r>
        <w:rPr>
          <w:rFonts w:eastAsia="Times New Roman"/>
          <w:b/>
          <w:szCs w:val="20"/>
          <w:lang w:val="bg-BG" w:eastAsia="bg-BG"/>
        </w:rPr>
        <w:t>el</w:t>
      </w:r>
      <w:r>
        <w:rPr>
          <w:rFonts w:eastAsia="Times New Roman"/>
          <w:b/>
          <w:szCs w:val="20"/>
          <w:lang w:eastAsia="bg-BG"/>
        </w:rPr>
        <w:t xml:space="preserve"> </w:t>
      </w:r>
      <w:r>
        <w:rPr>
          <w:rFonts w:eastAsia="Times New Roman"/>
          <w:b/>
          <w:szCs w:val="20"/>
          <w:lang w:val="bg-BG" w:eastAsia="bg-BG"/>
        </w:rPr>
        <w:t>of</w:t>
      </w:r>
      <w:r>
        <w:rPr>
          <w:rFonts w:eastAsia="Times New Roman"/>
          <w:b/>
          <w:spacing w:val="33"/>
          <w:szCs w:val="20"/>
          <w:lang w:val="bg-BG" w:eastAsia="bg-BG"/>
        </w:rPr>
        <w:t xml:space="preserve"> </w:t>
      </w:r>
      <w:r>
        <w:rPr>
          <w:rFonts w:eastAsia="Times New Roman"/>
          <w:b/>
          <w:szCs w:val="20"/>
          <w:lang w:val="bg-BG" w:eastAsia="bg-BG"/>
        </w:rPr>
        <w:t>significance.</w:t>
      </w:r>
      <w:r>
        <w:rPr>
          <w:rFonts w:eastAsia="Times New Roman"/>
          <w:b/>
          <w:spacing w:val="33"/>
          <w:szCs w:val="20"/>
          <w:lang w:val="bg-BG" w:eastAsia="bg-BG"/>
        </w:rPr>
        <w:t xml:space="preserve"> </w:t>
      </w:r>
    </w:p>
    <w:p w:rsidR="00355376" w:rsidRPr="000C3750" w:rsidRDefault="00355376" w:rsidP="00355376">
      <w:pPr>
        <w:autoSpaceDE w:val="0"/>
        <w:autoSpaceDN w:val="0"/>
        <w:adjustRightInd w:val="0"/>
        <w:spacing w:after="0" w:line="240" w:lineRule="auto"/>
        <w:rPr>
          <w:b/>
          <w:sz w:val="22"/>
          <w:szCs w:val="18"/>
        </w:rPr>
      </w:pPr>
    </w:p>
    <w:p w:rsidR="00DB0891" w:rsidRPr="000C3750" w:rsidRDefault="00DB0891" w:rsidP="00DB0891">
      <w:pPr>
        <w:spacing w:after="0" w:line="360" w:lineRule="auto"/>
        <w:jc w:val="both"/>
        <w:rPr>
          <w:b/>
          <w:szCs w:val="24"/>
        </w:rPr>
      </w:pPr>
      <w:r>
        <w:rPr>
          <w:b/>
          <w:szCs w:val="24"/>
        </w:rPr>
        <w:t>Table 6. Main effect of phosphorus rates, lime rates and location on MC, TGW, HLW, GC,GE and protein content (PC)of malt barley at the Bekoji and Kofele locations.</w:t>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20"/>
        <w:gridCol w:w="1170"/>
        <w:gridCol w:w="990"/>
        <w:gridCol w:w="1260"/>
        <w:gridCol w:w="1170"/>
        <w:gridCol w:w="900"/>
        <w:gridCol w:w="1620"/>
      </w:tblGrid>
      <w:tr w:rsidR="00DB0891" w:rsidRPr="000C3750" w:rsidTr="00DB0891">
        <w:trPr>
          <w:trHeight w:val="380"/>
        </w:trPr>
        <w:tc>
          <w:tcPr>
            <w:tcW w:w="1620" w:type="dxa"/>
            <w:tcBorders>
              <w:top w:val="single" w:sz="12" w:space="0" w:color="auto"/>
              <w:bottom w:val="single" w:sz="12" w:space="0" w:color="auto"/>
            </w:tcBorders>
          </w:tcPr>
          <w:p w:rsidR="00DB0891" w:rsidRPr="000C3750" w:rsidRDefault="00DB0891" w:rsidP="00C46767">
            <w:pPr>
              <w:jc w:val="center"/>
              <w:rPr>
                <w:b/>
                <w:bCs/>
                <w:szCs w:val="24"/>
              </w:rPr>
            </w:pPr>
          </w:p>
        </w:tc>
        <w:tc>
          <w:tcPr>
            <w:tcW w:w="1170" w:type="dxa"/>
            <w:tcBorders>
              <w:top w:val="single" w:sz="12" w:space="0" w:color="auto"/>
              <w:bottom w:val="single" w:sz="12" w:space="0" w:color="auto"/>
            </w:tcBorders>
            <w:vAlign w:val="bottom"/>
          </w:tcPr>
          <w:p w:rsidR="00DB0891" w:rsidRPr="000C3750" w:rsidRDefault="00DB0891" w:rsidP="00C46767">
            <w:pPr>
              <w:jc w:val="center"/>
              <w:rPr>
                <w:b/>
                <w:bCs/>
                <w:szCs w:val="24"/>
              </w:rPr>
            </w:pPr>
            <w:r w:rsidRPr="000C3750">
              <w:rPr>
                <w:b/>
                <w:bCs/>
                <w:szCs w:val="24"/>
              </w:rPr>
              <w:t>MC (%)</w:t>
            </w:r>
          </w:p>
        </w:tc>
        <w:tc>
          <w:tcPr>
            <w:tcW w:w="990" w:type="dxa"/>
            <w:tcBorders>
              <w:top w:val="single" w:sz="12" w:space="0" w:color="auto"/>
              <w:bottom w:val="single" w:sz="12" w:space="0" w:color="auto"/>
            </w:tcBorders>
            <w:vAlign w:val="bottom"/>
          </w:tcPr>
          <w:p w:rsidR="00DB0891" w:rsidRPr="000C3750" w:rsidRDefault="00DB0891" w:rsidP="00C46767">
            <w:pPr>
              <w:jc w:val="center"/>
              <w:rPr>
                <w:b/>
                <w:bCs/>
                <w:szCs w:val="24"/>
              </w:rPr>
            </w:pPr>
            <w:r w:rsidRPr="000C3750">
              <w:rPr>
                <w:b/>
                <w:bCs/>
                <w:szCs w:val="24"/>
              </w:rPr>
              <w:t>TGW(g)</w:t>
            </w:r>
          </w:p>
        </w:tc>
        <w:tc>
          <w:tcPr>
            <w:tcW w:w="1260" w:type="dxa"/>
            <w:tcBorders>
              <w:top w:val="single" w:sz="12" w:space="0" w:color="auto"/>
              <w:bottom w:val="single" w:sz="12" w:space="0" w:color="auto"/>
            </w:tcBorders>
            <w:vAlign w:val="bottom"/>
          </w:tcPr>
          <w:p w:rsidR="00DB0891" w:rsidRPr="000C3750" w:rsidRDefault="00DB0891" w:rsidP="00DB0891">
            <w:pPr>
              <w:jc w:val="center"/>
              <w:rPr>
                <w:b/>
                <w:bCs/>
                <w:szCs w:val="24"/>
              </w:rPr>
            </w:pPr>
            <w:r w:rsidRPr="000C3750">
              <w:rPr>
                <w:b/>
                <w:bCs/>
                <w:szCs w:val="24"/>
              </w:rPr>
              <w:t>HLW(</w:t>
            </w:r>
            <w:proofErr w:type="spellStart"/>
            <w:r w:rsidRPr="000C3750">
              <w:rPr>
                <w:b/>
                <w:bCs/>
                <w:szCs w:val="24"/>
              </w:rPr>
              <w:t>kghl</w:t>
            </w:r>
            <w:proofErr w:type="spellEnd"/>
            <w:r w:rsidRPr="000C3750">
              <w:rPr>
                <w:b/>
                <w:bCs/>
                <w:szCs w:val="24"/>
              </w:rPr>
              <w:t>)</w:t>
            </w:r>
          </w:p>
        </w:tc>
        <w:tc>
          <w:tcPr>
            <w:tcW w:w="1170" w:type="dxa"/>
            <w:tcBorders>
              <w:top w:val="single" w:sz="12" w:space="0" w:color="auto"/>
              <w:bottom w:val="single" w:sz="12" w:space="0" w:color="auto"/>
            </w:tcBorders>
            <w:vAlign w:val="bottom"/>
          </w:tcPr>
          <w:p w:rsidR="00DB0891" w:rsidRPr="000C3750" w:rsidRDefault="00DB0891" w:rsidP="00DB0891">
            <w:pPr>
              <w:ind w:left="90"/>
              <w:jc w:val="center"/>
              <w:rPr>
                <w:b/>
                <w:bCs/>
                <w:szCs w:val="24"/>
              </w:rPr>
            </w:pPr>
            <w:r w:rsidRPr="000C3750">
              <w:rPr>
                <w:b/>
                <w:bCs/>
                <w:szCs w:val="24"/>
              </w:rPr>
              <w:t>GC (%)</w:t>
            </w:r>
          </w:p>
        </w:tc>
        <w:tc>
          <w:tcPr>
            <w:tcW w:w="900" w:type="dxa"/>
            <w:tcBorders>
              <w:top w:val="single" w:sz="12" w:space="0" w:color="auto"/>
              <w:bottom w:val="single" w:sz="12" w:space="0" w:color="auto"/>
            </w:tcBorders>
            <w:vAlign w:val="bottom"/>
          </w:tcPr>
          <w:p w:rsidR="00DB0891" w:rsidRPr="000C3750" w:rsidRDefault="00DB0891" w:rsidP="00C46767">
            <w:pPr>
              <w:jc w:val="center"/>
              <w:rPr>
                <w:b/>
                <w:bCs/>
                <w:szCs w:val="24"/>
              </w:rPr>
            </w:pPr>
            <w:r w:rsidRPr="000C3750">
              <w:rPr>
                <w:b/>
                <w:bCs/>
                <w:szCs w:val="24"/>
              </w:rPr>
              <w:t>GE (%)</w:t>
            </w:r>
          </w:p>
        </w:tc>
        <w:tc>
          <w:tcPr>
            <w:tcW w:w="1620" w:type="dxa"/>
            <w:tcBorders>
              <w:top w:val="single" w:sz="12" w:space="0" w:color="auto"/>
              <w:bottom w:val="single" w:sz="12" w:space="0" w:color="auto"/>
            </w:tcBorders>
            <w:vAlign w:val="bottom"/>
          </w:tcPr>
          <w:p w:rsidR="00DB0891" w:rsidRPr="000C3750" w:rsidRDefault="00DB0891" w:rsidP="00C46767">
            <w:pPr>
              <w:jc w:val="center"/>
              <w:rPr>
                <w:b/>
                <w:bCs/>
                <w:szCs w:val="24"/>
              </w:rPr>
            </w:pPr>
            <w:r w:rsidRPr="000C3750">
              <w:rPr>
                <w:b/>
                <w:bCs/>
                <w:szCs w:val="24"/>
              </w:rPr>
              <w:t>PC (%)</w:t>
            </w:r>
          </w:p>
        </w:tc>
      </w:tr>
      <w:tr w:rsidR="00DB0891" w:rsidRPr="000C3750" w:rsidTr="00DB0891">
        <w:tc>
          <w:tcPr>
            <w:tcW w:w="1620" w:type="dxa"/>
          </w:tcPr>
          <w:p w:rsidR="00DB0891" w:rsidRPr="000C3750" w:rsidRDefault="00DB0891" w:rsidP="00C46767">
            <w:pPr>
              <w:rPr>
                <w:szCs w:val="24"/>
              </w:rPr>
            </w:pPr>
            <w:r w:rsidRPr="000C3750">
              <w:rPr>
                <w:szCs w:val="24"/>
              </w:rPr>
              <w:t>Kofele</w:t>
            </w:r>
          </w:p>
        </w:tc>
        <w:tc>
          <w:tcPr>
            <w:tcW w:w="1170" w:type="dxa"/>
            <w:vAlign w:val="bottom"/>
          </w:tcPr>
          <w:p w:rsidR="00DB0891" w:rsidRPr="000C3750" w:rsidRDefault="00DB0891" w:rsidP="00C46767">
            <w:pPr>
              <w:jc w:val="center"/>
              <w:rPr>
                <w:szCs w:val="24"/>
              </w:rPr>
            </w:pPr>
            <w:r w:rsidRPr="000C3750">
              <w:rPr>
                <w:szCs w:val="24"/>
              </w:rPr>
              <w:t>10.1b</w:t>
            </w:r>
          </w:p>
        </w:tc>
        <w:tc>
          <w:tcPr>
            <w:tcW w:w="990" w:type="dxa"/>
            <w:vAlign w:val="bottom"/>
          </w:tcPr>
          <w:p w:rsidR="00DB0891" w:rsidRPr="000C3750" w:rsidRDefault="00DB0891" w:rsidP="00C46767">
            <w:pPr>
              <w:jc w:val="center"/>
              <w:rPr>
                <w:szCs w:val="24"/>
              </w:rPr>
            </w:pPr>
            <w:r w:rsidRPr="000C3750">
              <w:rPr>
                <w:szCs w:val="24"/>
              </w:rPr>
              <w:t>36.5b</w:t>
            </w:r>
          </w:p>
        </w:tc>
        <w:tc>
          <w:tcPr>
            <w:tcW w:w="1260" w:type="dxa"/>
            <w:vAlign w:val="bottom"/>
          </w:tcPr>
          <w:p w:rsidR="00DB0891" w:rsidRPr="000C3750" w:rsidRDefault="00DB0891" w:rsidP="00C46767">
            <w:pPr>
              <w:jc w:val="center"/>
              <w:rPr>
                <w:szCs w:val="24"/>
              </w:rPr>
            </w:pPr>
            <w:r w:rsidRPr="000C3750">
              <w:rPr>
                <w:szCs w:val="24"/>
              </w:rPr>
              <w:t>65.0b</w:t>
            </w:r>
          </w:p>
        </w:tc>
        <w:tc>
          <w:tcPr>
            <w:tcW w:w="1170" w:type="dxa"/>
            <w:vAlign w:val="bottom"/>
          </w:tcPr>
          <w:p w:rsidR="00DB0891" w:rsidRPr="000C3750" w:rsidRDefault="00DB0891" w:rsidP="00C46767">
            <w:pPr>
              <w:jc w:val="center"/>
              <w:rPr>
                <w:szCs w:val="24"/>
              </w:rPr>
            </w:pPr>
            <w:r w:rsidRPr="000C3750">
              <w:rPr>
                <w:szCs w:val="24"/>
              </w:rPr>
              <w:t>98.6b</w:t>
            </w:r>
          </w:p>
        </w:tc>
        <w:tc>
          <w:tcPr>
            <w:tcW w:w="900" w:type="dxa"/>
            <w:vAlign w:val="bottom"/>
          </w:tcPr>
          <w:p w:rsidR="00DB0891" w:rsidRPr="000C3750" w:rsidRDefault="00DB0891" w:rsidP="00C46767">
            <w:pPr>
              <w:jc w:val="center"/>
              <w:rPr>
                <w:szCs w:val="24"/>
              </w:rPr>
            </w:pPr>
            <w:r w:rsidRPr="000C3750">
              <w:rPr>
                <w:szCs w:val="24"/>
              </w:rPr>
              <w:t>98.1b</w:t>
            </w:r>
          </w:p>
        </w:tc>
        <w:tc>
          <w:tcPr>
            <w:tcW w:w="1620" w:type="dxa"/>
            <w:vAlign w:val="bottom"/>
          </w:tcPr>
          <w:p w:rsidR="00DB0891" w:rsidRPr="000C3750" w:rsidRDefault="00DB0891" w:rsidP="00C46767">
            <w:pPr>
              <w:jc w:val="center"/>
              <w:rPr>
                <w:szCs w:val="24"/>
              </w:rPr>
            </w:pPr>
            <w:r w:rsidRPr="000C3750">
              <w:rPr>
                <w:szCs w:val="24"/>
              </w:rPr>
              <w:t>14.1a</w:t>
            </w:r>
          </w:p>
        </w:tc>
      </w:tr>
      <w:tr w:rsidR="00DB0891" w:rsidRPr="000C3750" w:rsidTr="00DB0891">
        <w:tc>
          <w:tcPr>
            <w:tcW w:w="1620" w:type="dxa"/>
          </w:tcPr>
          <w:p w:rsidR="00DB0891" w:rsidRPr="000C3750" w:rsidRDefault="00DB0891" w:rsidP="00C46767">
            <w:pPr>
              <w:rPr>
                <w:szCs w:val="24"/>
              </w:rPr>
            </w:pPr>
            <w:r w:rsidRPr="000C3750">
              <w:rPr>
                <w:szCs w:val="24"/>
              </w:rPr>
              <w:t>Bekoji</w:t>
            </w:r>
          </w:p>
        </w:tc>
        <w:tc>
          <w:tcPr>
            <w:tcW w:w="1170" w:type="dxa"/>
            <w:vAlign w:val="bottom"/>
          </w:tcPr>
          <w:p w:rsidR="00DB0891" w:rsidRPr="000C3750" w:rsidRDefault="00DB0891" w:rsidP="00C46767">
            <w:pPr>
              <w:jc w:val="center"/>
              <w:rPr>
                <w:szCs w:val="24"/>
              </w:rPr>
            </w:pPr>
            <w:r w:rsidRPr="000C3750">
              <w:rPr>
                <w:szCs w:val="24"/>
              </w:rPr>
              <w:t>10.5a</w:t>
            </w:r>
          </w:p>
        </w:tc>
        <w:tc>
          <w:tcPr>
            <w:tcW w:w="990" w:type="dxa"/>
            <w:vAlign w:val="bottom"/>
          </w:tcPr>
          <w:p w:rsidR="00DB0891" w:rsidRPr="000C3750" w:rsidRDefault="00DB0891" w:rsidP="00C46767">
            <w:pPr>
              <w:jc w:val="center"/>
              <w:rPr>
                <w:szCs w:val="24"/>
              </w:rPr>
            </w:pPr>
            <w:r w:rsidRPr="000C3750">
              <w:rPr>
                <w:szCs w:val="24"/>
              </w:rPr>
              <w:t>44.4a</w:t>
            </w:r>
          </w:p>
        </w:tc>
        <w:tc>
          <w:tcPr>
            <w:tcW w:w="1260" w:type="dxa"/>
            <w:vAlign w:val="bottom"/>
          </w:tcPr>
          <w:p w:rsidR="00DB0891" w:rsidRPr="000C3750" w:rsidRDefault="00DB0891" w:rsidP="00C46767">
            <w:pPr>
              <w:jc w:val="center"/>
              <w:rPr>
                <w:szCs w:val="24"/>
              </w:rPr>
            </w:pPr>
            <w:r w:rsidRPr="000C3750">
              <w:rPr>
                <w:szCs w:val="24"/>
              </w:rPr>
              <w:t>71.3a</w:t>
            </w:r>
          </w:p>
        </w:tc>
        <w:tc>
          <w:tcPr>
            <w:tcW w:w="1170" w:type="dxa"/>
            <w:vAlign w:val="bottom"/>
          </w:tcPr>
          <w:p w:rsidR="00DB0891" w:rsidRPr="000C3750" w:rsidRDefault="00DB0891" w:rsidP="00C46767">
            <w:pPr>
              <w:jc w:val="center"/>
              <w:rPr>
                <w:szCs w:val="24"/>
              </w:rPr>
            </w:pPr>
            <w:r w:rsidRPr="000C3750">
              <w:rPr>
                <w:szCs w:val="24"/>
              </w:rPr>
              <w:t>99.0a</w:t>
            </w:r>
          </w:p>
        </w:tc>
        <w:tc>
          <w:tcPr>
            <w:tcW w:w="900" w:type="dxa"/>
            <w:vAlign w:val="bottom"/>
          </w:tcPr>
          <w:p w:rsidR="00DB0891" w:rsidRPr="000C3750" w:rsidRDefault="00DB0891" w:rsidP="00C46767">
            <w:pPr>
              <w:jc w:val="center"/>
              <w:rPr>
                <w:szCs w:val="24"/>
              </w:rPr>
            </w:pPr>
            <w:r w:rsidRPr="000C3750">
              <w:rPr>
                <w:szCs w:val="24"/>
              </w:rPr>
              <w:t>98.4a</w:t>
            </w:r>
          </w:p>
        </w:tc>
        <w:tc>
          <w:tcPr>
            <w:tcW w:w="1620" w:type="dxa"/>
            <w:vAlign w:val="bottom"/>
          </w:tcPr>
          <w:p w:rsidR="00DB0891" w:rsidRPr="000C3750" w:rsidRDefault="00DB0891" w:rsidP="00C46767">
            <w:pPr>
              <w:jc w:val="center"/>
              <w:rPr>
                <w:szCs w:val="24"/>
              </w:rPr>
            </w:pPr>
            <w:r w:rsidRPr="000C3750">
              <w:rPr>
                <w:szCs w:val="24"/>
              </w:rPr>
              <w:t>11.1b</w:t>
            </w:r>
          </w:p>
        </w:tc>
      </w:tr>
      <w:tr w:rsidR="00DB0891" w:rsidRPr="000C3750" w:rsidTr="00DB0891">
        <w:tc>
          <w:tcPr>
            <w:tcW w:w="1620" w:type="dxa"/>
          </w:tcPr>
          <w:p w:rsidR="00DB0891" w:rsidRPr="000C3750" w:rsidRDefault="00DB0891" w:rsidP="00C46767">
            <w:pPr>
              <w:rPr>
                <w:szCs w:val="24"/>
              </w:rPr>
            </w:pPr>
            <w:r w:rsidRPr="000C3750">
              <w:rPr>
                <w:szCs w:val="24"/>
              </w:rPr>
              <w:t>Lime(t ha</w:t>
            </w:r>
            <w:r w:rsidRPr="000C3750">
              <w:rPr>
                <w:szCs w:val="24"/>
                <w:vertAlign w:val="superscript"/>
              </w:rPr>
              <w:t>-1</w:t>
            </w:r>
            <w:r w:rsidRPr="000C3750">
              <w:rPr>
                <w:szCs w:val="24"/>
              </w:rPr>
              <w:t>)</w:t>
            </w:r>
          </w:p>
        </w:tc>
        <w:tc>
          <w:tcPr>
            <w:tcW w:w="1170" w:type="dxa"/>
            <w:vAlign w:val="bottom"/>
          </w:tcPr>
          <w:p w:rsidR="00DB0891" w:rsidRPr="000C3750" w:rsidRDefault="00DB0891" w:rsidP="00C46767">
            <w:pPr>
              <w:jc w:val="center"/>
              <w:rPr>
                <w:szCs w:val="24"/>
              </w:rPr>
            </w:pPr>
          </w:p>
        </w:tc>
        <w:tc>
          <w:tcPr>
            <w:tcW w:w="990" w:type="dxa"/>
            <w:vAlign w:val="bottom"/>
          </w:tcPr>
          <w:p w:rsidR="00DB0891" w:rsidRPr="000C3750" w:rsidRDefault="00DB0891" w:rsidP="00C46767">
            <w:pPr>
              <w:jc w:val="center"/>
              <w:rPr>
                <w:szCs w:val="24"/>
              </w:rPr>
            </w:pPr>
          </w:p>
        </w:tc>
        <w:tc>
          <w:tcPr>
            <w:tcW w:w="1260" w:type="dxa"/>
            <w:vAlign w:val="bottom"/>
          </w:tcPr>
          <w:p w:rsidR="00DB0891" w:rsidRPr="000C3750" w:rsidRDefault="00DB0891" w:rsidP="00C46767">
            <w:pPr>
              <w:jc w:val="center"/>
              <w:rPr>
                <w:szCs w:val="24"/>
              </w:rPr>
            </w:pPr>
          </w:p>
        </w:tc>
        <w:tc>
          <w:tcPr>
            <w:tcW w:w="1170" w:type="dxa"/>
            <w:vAlign w:val="bottom"/>
          </w:tcPr>
          <w:p w:rsidR="00DB0891" w:rsidRPr="000C3750" w:rsidRDefault="00DB0891" w:rsidP="00C46767">
            <w:pPr>
              <w:jc w:val="center"/>
              <w:rPr>
                <w:szCs w:val="24"/>
              </w:rPr>
            </w:pPr>
          </w:p>
        </w:tc>
        <w:tc>
          <w:tcPr>
            <w:tcW w:w="900" w:type="dxa"/>
            <w:vAlign w:val="bottom"/>
          </w:tcPr>
          <w:p w:rsidR="00DB0891" w:rsidRPr="000C3750" w:rsidRDefault="00DB0891" w:rsidP="00C46767">
            <w:pPr>
              <w:jc w:val="center"/>
              <w:rPr>
                <w:szCs w:val="24"/>
              </w:rPr>
            </w:pPr>
          </w:p>
        </w:tc>
        <w:tc>
          <w:tcPr>
            <w:tcW w:w="1620" w:type="dxa"/>
            <w:vAlign w:val="bottom"/>
          </w:tcPr>
          <w:p w:rsidR="00DB0891" w:rsidRPr="000C3750" w:rsidRDefault="00DB0891" w:rsidP="00C46767">
            <w:pPr>
              <w:jc w:val="center"/>
              <w:rPr>
                <w:szCs w:val="24"/>
              </w:rPr>
            </w:pPr>
          </w:p>
        </w:tc>
      </w:tr>
      <w:tr w:rsidR="00DB0891" w:rsidRPr="000C3750" w:rsidTr="00DB0891">
        <w:tc>
          <w:tcPr>
            <w:tcW w:w="1620" w:type="dxa"/>
          </w:tcPr>
          <w:p w:rsidR="00DB0891" w:rsidRPr="000C3750" w:rsidRDefault="00DB0891" w:rsidP="00C46767">
            <w:pPr>
              <w:rPr>
                <w:szCs w:val="24"/>
              </w:rPr>
            </w:pPr>
            <w:r w:rsidRPr="000C3750">
              <w:rPr>
                <w:szCs w:val="24"/>
              </w:rPr>
              <w:t>0</w:t>
            </w:r>
          </w:p>
        </w:tc>
        <w:tc>
          <w:tcPr>
            <w:tcW w:w="1170" w:type="dxa"/>
            <w:vAlign w:val="bottom"/>
          </w:tcPr>
          <w:p w:rsidR="00DB0891" w:rsidRPr="000C3750" w:rsidRDefault="00DB0891" w:rsidP="00C46767">
            <w:pPr>
              <w:jc w:val="center"/>
              <w:rPr>
                <w:szCs w:val="24"/>
              </w:rPr>
            </w:pPr>
            <w:r w:rsidRPr="000C3750">
              <w:rPr>
                <w:szCs w:val="24"/>
              </w:rPr>
              <w:t>10.4</w:t>
            </w:r>
          </w:p>
        </w:tc>
        <w:tc>
          <w:tcPr>
            <w:tcW w:w="990" w:type="dxa"/>
            <w:vAlign w:val="bottom"/>
          </w:tcPr>
          <w:p w:rsidR="00DB0891" w:rsidRPr="000C3750" w:rsidRDefault="00DB0891" w:rsidP="00C46767">
            <w:pPr>
              <w:jc w:val="center"/>
              <w:rPr>
                <w:szCs w:val="24"/>
              </w:rPr>
            </w:pPr>
            <w:r w:rsidRPr="000C3750">
              <w:rPr>
                <w:szCs w:val="24"/>
              </w:rPr>
              <w:t>40.6</w:t>
            </w:r>
          </w:p>
        </w:tc>
        <w:tc>
          <w:tcPr>
            <w:tcW w:w="1260" w:type="dxa"/>
            <w:vAlign w:val="bottom"/>
          </w:tcPr>
          <w:p w:rsidR="00DB0891" w:rsidRPr="000C3750" w:rsidRDefault="00DB0891" w:rsidP="00C46767">
            <w:pPr>
              <w:jc w:val="center"/>
              <w:rPr>
                <w:szCs w:val="24"/>
              </w:rPr>
            </w:pPr>
            <w:r w:rsidRPr="000C3750">
              <w:rPr>
                <w:szCs w:val="24"/>
              </w:rPr>
              <w:t>68.0ab</w:t>
            </w:r>
          </w:p>
        </w:tc>
        <w:tc>
          <w:tcPr>
            <w:tcW w:w="1170" w:type="dxa"/>
            <w:vAlign w:val="bottom"/>
          </w:tcPr>
          <w:p w:rsidR="00DB0891" w:rsidRPr="000C3750" w:rsidRDefault="00DB0891" w:rsidP="00C46767">
            <w:pPr>
              <w:jc w:val="center"/>
              <w:rPr>
                <w:szCs w:val="24"/>
              </w:rPr>
            </w:pPr>
            <w:r w:rsidRPr="000C3750">
              <w:rPr>
                <w:szCs w:val="24"/>
              </w:rPr>
              <w:t>98.8</w:t>
            </w:r>
          </w:p>
        </w:tc>
        <w:tc>
          <w:tcPr>
            <w:tcW w:w="900" w:type="dxa"/>
            <w:vAlign w:val="bottom"/>
          </w:tcPr>
          <w:p w:rsidR="00DB0891" w:rsidRPr="000C3750" w:rsidRDefault="00DB0891" w:rsidP="00C46767">
            <w:pPr>
              <w:jc w:val="center"/>
              <w:rPr>
                <w:szCs w:val="24"/>
              </w:rPr>
            </w:pPr>
            <w:r w:rsidRPr="000C3750">
              <w:rPr>
                <w:szCs w:val="24"/>
              </w:rPr>
              <w:t>98.2</w:t>
            </w:r>
          </w:p>
        </w:tc>
        <w:tc>
          <w:tcPr>
            <w:tcW w:w="1620" w:type="dxa"/>
            <w:vAlign w:val="bottom"/>
          </w:tcPr>
          <w:p w:rsidR="00DB0891" w:rsidRPr="000C3750" w:rsidRDefault="00DB0891" w:rsidP="00C46767">
            <w:pPr>
              <w:jc w:val="center"/>
              <w:rPr>
                <w:szCs w:val="24"/>
              </w:rPr>
            </w:pPr>
            <w:r w:rsidRPr="000C3750">
              <w:rPr>
                <w:szCs w:val="24"/>
              </w:rPr>
              <w:t>12.6</w:t>
            </w:r>
          </w:p>
        </w:tc>
      </w:tr>
      <w:tr w:rsidR="00DB0891" w:rsidRPr="000C3750" w:rsidTr="00DB0891">
        <w:tc>
          <w:tcPr>
            <w:tcW w:w="1620" w:type="dxa"/>
          </w:tcPr>
          <w:p w:rsidR="00DB0891" w:rsidRPr="000C3750" w:rsidRDefault="00DB0891" w:rsidP="00C46767">
            <w:pPr>
              <w:rPr>
                <w:szCs w:val="24"/>
              </w:rPr>
            </w:pPr>
            <w:r w:rsidRPr="000C3750">
              <w:rPr>
                <w:szCs w:val="24"/>
              </w:rPr>
              <w:t>1.5</w:t>
            </w:r>
          </w:p>
        </w:tc>
        <w:tc>
          <w:tcPr>
            <w:tcW w:w="1170" w:type="dxa"/>
            <w:vAlign w:val="bottom"/>
          </w:tcPr>
          <w:p w:rsidR="00DB0891" w:rsidRPr="000C3750" w:rsidRDefault="00DB0891" w:rsidP="00C46767">
            <w:pPr>
              <w:jc w:val="center"/>
              <w:rPr>
                <w:szCs w:val="24"/>
              </w:rPr>
            </w:pPr>
            <w:r w:rsidRPr="000C3750">
              <w:rPr>
                <w:szCs w:val="24"/>
              </w:rPr>
              <w:t>10.3</w:t>
            </w:r>
          </w:p>
        </w:tc>
        <w:tc>
          <w:tcPr>
            <w:tcW w:w="990" w:type="dxa"/>
            <w:vAlign w:val="bottom"/>
          </w:tcPr>
          <w:p w:rsidR="00DB0891" w:rsidRPr="000C3750" w:rsidRDefault="00DB0891" w:rsidP="00C46767">
            <w:pPr>
              <w:jc w:val="center"/>
              <w:rPr>
                <w:szCs w:val="24"/>
              </w:rPr>
            </w:pPr>
            <w:r w:rsidRPr="000C3750">
              <w:rPr>
                <w:szCs w:val="24"/>
              </w:rPr>
              <w:t>40.2</w:t>
            </w:r>
          </w:p>
        </w:tc>
        <w:tc>
          <w:tcPr>
            <w:tcW w:w="1260" w:type="dxa"/>
            <w:vAlign w:val="bottom"/>
          </w:tcPr>
          <w:p w:rsidR="00DB0891" w:rsidRPr="000C3750" w:rsidRDefault="00DB0891" w:rsidP="00C46767">
            <w:pPr>
              <w:jc w:val="center"/>
              <w:rPr>
                <w:szCs w:val="24"/>
              </w:rPr>
            </w:pPr>
            <w:r w:rsidRPr="000C3750">
              <w:rPr>
                <w:szCs w:val="24"/>
              </w:rPr>
              <w:t>67.6b</w:t>
            </w:r>
          </w:p>
        </w:tc>
        <w:tc>
          <w:tcPr>
            <w:tcW w:w="1170" w:type="dxa"/>
            <w:vAlign w:val="bottom"/>
          </w:tcPr>
          <w:p w:rsidR="00DB0891" w:rsidRPr="000C3750" w:rsidRDefault="00DB0891" w:rsidP="00C46767">
            <w:pPr>
              <w:jc w:val="center"/>
              <w:rPr>
                <w:szCs w:val="24"/>
              </w:rPr>
            </w:pPr>
            <w:r w:rsidRPr="000C3750">
              <w:rPr>
                <w:szCs w:val="24"/>
              </w:rPr>
              <w:t>98.6</w:t>
            </w:r>
          </w:p>
        </w:tc>
        <w:tc>
          <w:tcPr>
            <w:tcW w:w="900" w:type="dxa"/>
            <w:vAlign w:val="bottom"/>
          </w:tcPr>
          <w:p w:rsidR="00DB0891" w:rsidRPr="000C3750" w:rsidRDefault="00DB0891" w:rsidP="00C46767">
            <w:pPr>
              <w:jc w:val="center"/>
              <w:rPr>
                <w:szCs w:val="24"/>
              </w:rPr>
            </w:pPr>
            <w:r w:rsidRPr="000C3750">
              <w:rPr>
                <w:szCs w:val="24"/>
              </w:rPr>
              <w:t>98.3</w:t>
            </w:r>
          </w:p>
        </w:tc>
        <w:tc>
          <w:tcPr>
            <w:tcW w:w="1620" w:type="dxa"/>
            <w:vAlign w:val="bottom"/>
          </w:tcPr>
          <w:p w:rsidR="00DB0891" w:rsidRPr="000C3750" w:rsidRDefault="00DB0891" w:rsidP="00C46767">
            <w:pPr>
              <w:jc w:val="center"/>
              <w:rPr>
                <w:szCs w:val="24"/>
              </w:rPr>
            </w:pPr>
            <w:r w:rsidRPr="000C3750">
              <w:rPr>
                <w:szCs w:val="24"/>
              </w:rPr>
              <w:t>12.8</w:t>
            </w:r>
          </w:p>
        </w:tc>
      </w:tr>
      <w:tr w:rsidR="00DB0891" w:rsidRPr="000C3750" w:rsidTr="00DB0891">
        <w:tc>
          <w:tcPr>
            <w:tcW w:w="1620" w:type="dxa"/>
          </w:tcPr>
          <w:p w:rsidR="00DB0891" w:rsidRPr="000C3750" w:rsidRDefault="00DB0891" w:rsidP="00C46767">
            <w:pPr>
              <w:rPr>
                <w:szCs w:val="24"/>
              </w:rPr>
            </w:pPr>
            <w:r w:rsidRPr="000C3750">
              <w:rPr>
                <w:szCs w:val="24"/>
              </w:rPr>
              <w:t>3.0</w:t>
            </w:r>
          </w:p>
        </w:tc>
        <w:tc>
          <w:tcPr>
            <w:tcW w:w="1170" w:type="dxa"/>
            <w:vAlign w:val="bottom"/>
          </w:tcPr>
          <w:p w:rsidR="00DB0891" w:rsidRPr="000C3750" w:rsidRDefault="00DB0891" w:rsidP="00C46767">
            <w:pPr>
              <w:jc w:val="center"/>
              <w:rPr>
                <w:szCs w:val="24"/>
              </w:rPr>
            </w:pPr>
            <w:r w:rsidRPr="000C3750">
              <w:rPr>
                <w:szCs w:val="24"/>
              </w:rPr>
              <w:t>10.3</w:t>
            </w:r>
          </w:p>
        </w:tc>
        <w:tc>
          <w:tcPr>
            <w:tcW w:w="990" w:type="dxa"/>
            <w:vAlign w:val="bottom"/>
          </w:tcPr>
          <w:p w:rsidR="00DB0891" w:rsidRPr="000C3750" w:rsidRDefault="00DB0891" w:rsidP="00C46767">
            <w:pPr>
              <w:jc w:val="center"/>
              <w:rPr>
                <w:szCs w:val="24"/>
              </w:rPr>
            </w:pPr>
            <w:r w:rsidRPr="000C3750">
              <w:rPr>
                <w:szCs w:val="24"/>
              </w:rPr>
              <w:t>40.5</w:t>
            </w:r>
          </w:p>
        </w:tc>
        <w:tc>
          <w:tcPr>
            <w:tcW w:w="1260" w:type="dxa"/>
            <w:vAlign w:val="bottom"/>
          </w:tcPr>
          <w:p w:rsidR="00DB0891" w:rsidRPr="000C3750" w:rsidRDefault="00DB0891" w:rsidP="00C46767">
            <w:pPr>
              <w:jc w:val="center"/>
              <w:rPr>
                <w:szCs w:val="24"/>
              </w:rPr>
            </w:pPr>
            <w:r w:rsidRPr="000C3750">
              <w:rPr>
                <w:szCs w:val="24"/>
              </w:rPr>
              <w:t>68.9a</w:t>
            </w:r>
          </w:p>
        </w:tc>
        <w:tc>
          <w:tcPr>
            <w:tcW w:w="1170" w:type="dxa"/>
            <w:vAlign w:val="bottom"/>
          </w:tcPr>
          <w:p w:rsidR="00DB0891" w:rsidRPr="000C3750" w:rsidRDefault="00DB0891" w:rsidP="00C46767">
            <w:pPr>
              <w:jc w:val="center"/>
              <w:rPr>
                <w:szCs w:val="24"/>
              </w:rPr>
            </w:pPr>
            <w:r w:rsidRPr="000C3750">
              <w:rPr>
                <w:szCs w:val="24"/>
              </w:rPr>
              <w:t>98.9</w:t>
            </w:r>
          </w:p>
        </w:tc>
        <w:tc>
          <w:tcPr>
            <w:tcW w:w="900" w:type="dxa"/>
            <w:vAlign w:val="bottom"/>
          </w:tcPr>
          <w:p w:rsidR="00DB0891" w:rsidRPr="000C3750" w:rsidRDefault="00DB0891" w:rsidP="00C46767">
            <w:pPr>
              <w:jc w:val="center"/>
              <w:rPr>
                <w:szCs w:val="24"/>
              </w:rPr>
            </w:pPr>
            <w:r w:rsidRPr="000C3750">
              <w:rPr>
                <w:szCs w:val="24"/>
              </w:rPr>
              <w:t>98.3</w:t>
            </w:r>
          </w:p>
        </w:tc>
        <w:tc>
          <w:tcPr>
            <w:tcW w:w="1620" w:type="dxa"/>
            <w:vAlign w:val="bottom"/>
          </w:tcPr>
          <w:p w:rsidR="00DB0891" w:rsidRPr="000C3750" w:rsidRDefault="00DB0891" w:rsidP="00C46767">
            <w:pPr>
              <w:jc w:val="center"/>
              <w:rPr>
                <w:szCs w:val="24"/>
              </w:rPr>
            </w:pPr>
            <w:r w:rsidRPr="000C3750">
              <w:rPr>
                <w:szCs w:val="24"/>
              </w:rPr>
              <w:t>12.6</w:t>
            </w:r>
          </w:p>
        </w:tc>
      </w:tr>
      <w:tr w:rsidR="00DB0891" w:rsidRPr="000C3750" w:rsidTr="00DB0891">
        <w:tc>
          <w:tcPr>
            <w:tcW w:w="1620" w:type="dxa"/>
          </w:tcPr>
          <w:p w:rsidR="00DB0891" w:rsidRPr="000C3750" w:rsidRDefault="00DB0891" w:rsidP="00C46767">
            <w:pPr>
              <w:rPr>
                <w:b/>
                <w:szCs w:val="24"/>
              </w:rPr>
            </w:pPr>
            <w:r w:rsidRPr="000C3750">
              <w:rPr>
                <w:b/>
                <w:szCs w:val="24"/>
              </w:rPr>
              <w:t>P level(kg ha</w:t>
            </w:r>
            <w:r w:rsidRPr="000C3750">
              <w:rPr>
                <w:b/>
                <w:szCs w:val="24"/>
                <w:vertAlign w:val="superscript"/>
              </w:rPr>
              <w:t>-1</w:t>
            </w:r>
            <w:r w:rsidRPr="000C3750">
              <w:rPr>
                <w:b/>
                <w:szCs w:val="24"/>
              </w:rPr>
              <w:t>)</w:t>
            </w:r>
            <w:r w:rsidRPr="000C3750">
              <w:rPr>
                <w:b/>
                <w:szCs w:val="24"/>
                <w:vertAlign w:val="superscript"/>
              </w:rPr>
              <w:t xml:space="preserve"> </w:t>
            </w:r>
          </w:p>
        </w:tc>
        <w:tc>
          <w:tcPr>
            <w:tcW w:w="1170" w:type="dxa"/>
            <w:vAlign w:val="bottom"/>
          </w:tcPr>
          <w:p w:rsidR="00DB0891" w:rsidRPr="000C3750" w:rsidRDefault="00DB0891" w:rsidP="00C46767">
            <w:pPr>
              <w:jc w:val="center"/>
              <w:rPr>
                <w:szCs w:val="24"/>
              </w:rPr>
            </w:pPr>
          </w:p>
        </w:tc>
        <w:tc>
          <w:tcPr>
            <w:tcW w:w="990" w:type="dxa"/>
            <w:vAlign w:val="bottom"/>
          </w:tcPr>
          <w:p w:rsidR="00DB0891" w:rsidRPr="000C3750" w:rsidRDefault="00DB0891" w:rsidP="00C46767">
            <w:pPr>
              <w:jc w:val="center"/>
              <w:rPr>
                <w:szCs w:val="24"/>
              </w:rPr>
            </w:pPr>
          </w:p>
        </w:tc>
        <w:tc>
          <w:tcPr>
            <w:tcW w:w="1260" w:type="dxa"/>
            <w:vAlign w:val="bottom"/>
          </w:tcPr>
          <w:p w:rsidR="00DB0891" w:rsidRPr="000C3750" w:rsidRDefault="00DB0891" w:rsidP="00C46767">
            <w:pPr>
              <w:jc w:val="center"/>
              <w:rPr>
                <w:szCs w:val="24"/>
              </w:rPr>
            </w:pPr>
          </w:p>
        </w:tc>
        <w:tc>
          <w:tcPr>
            <w:tcW w:w="1170" w:type="dxa"/>
            <w:vAlign w:val="bottom"/>
          </w:tcPr>
          <w:p w:rsidR="00DB0891" w:rsidRPr="000C3750" w:rsidRDefault="00DB0891" w:rsidP="00C46767">
            <w:pPr>
              <w:jc w:val="center"/>
              <w:rPr>
                <w:szCs w:val="24"/>
              </w:rPr>
            </w:pPr>
          </w:p>
        </w:tc>
        <w:tc>
          <w:tcPr>
            <w:tcW w:w="900" w:type="dxa"/>
            <w:vAlign w:val="bottom"/>
          </w:tcPr>
          <w:p w:rsidR="00DB0891" w:rsidRPr="000C3750" w:rsidRDefault="00DB0891" w:rsidP="00C46767">
            <w:pPr>
              <w:jc w:val="center"/>
              <w:rPr>
                <w:szCs w:val="24"/>
              </w:rPr>
            </w:pPr>
          </w:p>
        </w:tc>
        <w:tc>
          <w:tcPr>
            <w:tcW w:w="1620" w:type="dxa"/>
            <w:vAlign w:val="bottom"/>
          </w:tcPr>
          <w:p w:rsidR="00DB0891" w:rsidRPr="000C3750" w:rsidRDefault="00DB0891" w:rsidP="00C46767">
            <w:pPr>
              <w:jc w:val="center"/>
              <w:rPr>
                <w:szCs w:val="24"/>
              </w:rPr>
            </w:pPr>
          </w:p>
        </w:tc>
      </w:tr>
      <w:tr w:rsidR="00DB0891" w:rsidRPr="000C3750" w:rsidTr="00DB0891">
        <w:tc>
          <w:tcPr>
            <w:tcW w:w="1620" w:type="dxa"/>
          </w:tcPr>
          <w:p w:rsidR="00DB0891" w:rsidRPr="000C3750" w:rsidRDefault="00DB0891" w:rsidP="00C46767">
            <w:pPr>
              <w:rPr>
                <w:szCs w:val="24"/>
              </w:rPr>
            </w:pPr>
            <w:r w:rsidRPr="000C3750">
              <w:rPr>
                <w:szCs w:val="24"/>
              </w:rPr>
              <w:t>0</w:t>
            </w:r>
          </w:p>
        </w:tc>
        <w:tc>
          <w:tcPr>
            <w:tcW w:w="1170" w:type="dxa"/>
            <w:vAlign w:val="bottom"/>
          </w:tcPr>
          <w:p w:rsidR="00DB0891" w:rsidRPr="000C3750" w:rsidRDefault="00DB0891" w:rsidP="00C46767">
            <w:pPr>
              <w:jc w:val="center"/>
              <w:rPr>
                <w:szCs w:val="24"/>
              </w:rPr>
            </w:pPr>
            <w:r w:rsidRPr="000C3750">
              <w:rPr>
                <w:szCs w:val="24"/>
              </w:rPr>
              <w:t>10.7a</w:t>
            </w:r>
          </w:p>
        </w:tc>
        <w:tc>
          <w:tcPr>
            <w:tcW w:w="990" w:type="dxa"/>
            <w:vAlign w:val="bottom"/>
          </w:tcPr>
          <w:p w:rsidR="00DB0891" w:rsidRPr="000C3750" w:rsidRDefault="00DB0891" w:rsidP="00C46767">
            <w:pPr>
              <w:jc w:val="center"/>
              <w:rPr>
                <w:szCs w:val="24"/>
              </w:rPr>
            </w:pPr>
            <w:r w:rsidRPr="000C3750">
              <w:rPr>
                <w:szCs w:val="24"/>
              </w:rPr>
              <w:t>40.7</w:t>
            </w:r>
          </w:p>
        </w:tc>
        <w:tc>
          <w:tcPr>
            <w:tcW w:w="1260" w:type="dxa"/>
            <w:vAlign w:val="bottom"/>
          </w:tcPr>
          <w:p w:rsidR="00DB0891" w:rsidRPr="000C3750" w:rsidRDefault="00DB0891" w:rsidP="00C46767">
            <w:pPr>
              <w:jc w:val="center"/>
              <w:rPr>
                <w:szCs w:val="24"/>
              </w:rPr>
            </w:pPr>
            <w:r w:rsidRPr="000C3750">
              <w:rPr>
                <w:szCs w:val="24"/>
              </w:rPr>
              <w:t>67.9</w:t>
            </w:r>
          </w:p>
        </w:tc>
        <w:tc>
          <w:tcPr>
            <w:tcW w:w="1170" w:type="dxa"/>
            <w:vAlign w:val="bottom"/>
          </w:tcPr>
          <w:p w:rsidR="00DB0891" w:rsidRPr="000C3750" w:rsidRDefault="00DB0891" w:rsidP="00C46767">
            <w:pPr>
              <w:jc w:val="center"/>
              <w:rPr>
                <w:szCs w:val="24"/>
              </w:rPr>
            </w:pPr>
            <w:r w:rsidRPr="000C3750">
              <w:rPr>
                <w:szCs w:val="24"/>
              </w:rPr>
              <w:t>98.8</w:t>
            </w:r>
          </w:p>
        </w:tc>
        <w:tc>
          <w:tcPr>
            <w:tcW w:w="900" w:type="dxa"/>
            <w:vAlign w:val="bottom"/>
          </w:tcPr>
          <w:p w:rsidR="00DB0891" w:rsidRPr="000C3750" w:rsidRDefault="00DB0891" w:rsidP="00C46767">
            <w:pPr>
              <w:jc w:val="center"/>
              <w:rPr>
                <w:szCs w:val="24"/>
              </w:rPr>
            </w:pPr>
            <w:r w:rsidRPr="000C3750">
              <w:rPr>
                <w:szCs w:val="24"/>
              </w:rPr>
              <w:t>98.1</w:t>
            </w:r>
          </w:p>
        </w:tc>
        <w:tc>
          <w:tcPr>
            <w:tcW w:w="1620" w:type="dxa"/>
            <w:vAlign w:val="bottom"/>
          </w:tcPr>
          <w:p w:rsidR="00DB0891" w:rsidRPr="000C3750" w:rsidRDefault="00DB0891" w:rsidP="00C46767">
            <w:pPr>
              <w:jc w:val="center"/>
              <w:rPr>
                <w:szCs w:val="24"/>
              </w:rPr>
            </w:pPr>
            <w:r w:rsidRPr="000C3750">
              <w:rPr>
                <w:szCs w:val="24"/>
              </w:rPr>
              <w:t>12.5</w:t>
            </w:r>
          </w:p>
        </w:tc>
      </w:tr>
      <w:tr w:rsidR="00DB0891" w:rsidRPr="000C3750" w:rsidTr="00DB0891">
        <w:tc>
          <w:tcPr>
            <w:tcW w:w="1620" w:type="dxa"/>
          </w:tcPr>
          <w:p w:rsidR="00DB0891" w:rsidRPr="000C3750" w:rsidRDefault="00DB0891" w:rsidP="00C46767">
            <w:pPr>
              <w:rPr>
                <w:szCs w:val="24"/>
              </w:rPr>
            </w:pPr>
            <w:r w:rsidRPr="000C3750">
              <w:rPr>
                <w:szCs w:val="24"/>
              </w:rPr>
              <w:t>10</w:t>
            </w:r>
          </w:p>
        </w:tc>
        <w:tc>
          <w:tcPr>
            <w:tcW w:w="1170" w:type="dxa"/>
            <w:vAlign w:val="bottom"/>
          </w:tcPr>
          <w:p w:rsidR="00DB0891" w:rsidRPr="000C3750" w:rsidRDefault="00DB0891" w:rsidP="00C46767">
            <w:pPr>
              <w:jc w:val="center"/>
              <w:rPr>
                <w:szCs w:val="24"/>
              </w:rPr>
            </w:pPr>
            <w:r w:rsidRPr="000C3750">
              <w:rPr>
                <w:szCs w:val="24"/>
              </w:rPr>
              <w:t>10.3b</w:t>
            </w:r>
          </w:p>
        </w:tc>
        <w:tc>
          <w:tcPr>
            <w:tcW w:w="990" w:type="dxa"/>
            <w:vAlign w:val="bottom"/>
          </w:tcPr>
          <w:p w:rsidR="00DB0891" w:rsidRPr="000C3750" w:rsidRDefault="00DB0891" w:rsidP="00C46767">
            <w:pPr>
              <w:jc w:val="center"/>
              <w:rPr>
                <w:szCs w:val="24"/>
              </w:rPr>
            </w:pPr>
            <w:r w:rsidRPr="000C3750">
              <w:rPr>
                <w:szCs w:val="24"/>
              </w:rPr>
              <w:t>40.9</w:t>
            </w:r>
          </w:p>
        </w:tc>
        <w:tc>
          <w:tcPr>
            <w:tcW w:w="1260" w:type="dxa"/>
            <w:vAlign w:val="bottom"/>
          </w:tcPr>
          <w:p w:rsidR="00DB0891" w:rsidRPr="000C3750" w:rsidRDefault="00DB0891" w:rsidP="00C46767">
            <w:pPr>
              <w:jc w:val="center"/>
              <w:rPr>
                <w:szCs w:val="24"/>
              </w:rPr>
            </w:pPr>
            <w:r w:rsidRPr="000C3750">
              <w:rPr>
                <w:szCs w:val="24"/>
              </w:rPr>
              <w:t>68.3</w:t>
            </w:r>
          </w:p>
        </w:tc>
        <w:tc>
          <w:tcPr>
            <w:tcW w:w="1170" w:type="dxa"/>
            <w:vAlign w:val="bottom"/>
          </w:tcPr>
          <w:p w:rsidR="00DB0891" w:rsidRPr="000C3750" w:rsidRDefault="00DB0891" w:rsidP="00C46767">
            <w:pPr>
              <w:jc w:val="center"/>
              <w:rPr>
                <w:szCs w:val="24"/>
              </w:rPr>
            </w:pPr>
            <w:r w:rsidRPr="000C3750">
              <w:rPr>
                <w:szCs w:val="24"/>
              </w:rPr>
              <w:t>98.6</w:t>
            </w:r>
          </w:p>
        </w:tc>
        <w:tc>
          <w:tcPr>
            <w:tcW w:w="900" w:type="dxa"/>
            <w:vAlign w:val="bottom"/>
          </w:tcPr>
          <w:p w:rsidR="00DB0891" w:rsidRPr="000C3750" w:rsidRDefault="00DB0891" w:rsidP="00C46767">
            <w:pPr>
              <w:jc w:val="center"/>
              <w:rPr>
                <w:szCs w:val="24"/>
              </w:rPr>
            </w:pPr>
            <w:r w:rsidRPr="000C3750">
              <w:rPr>
                <w:szCs w:val="24"/>
              </w:rPr>
              <w:t>98.2</w:t>
            </w:r>
          </w:p>
        </w:tc>
        <w:tc>
          <w:tcPr>
            <w:tcW w:w="1620" w:type="dxa"/>
            <w:vAlign w:val="bottom"/>
          </w:tcPr>
          <w:p w:rsidR="00DB0891" w:rsidRPr="000C3750" w:rsidRDefault="00DB0891" w:rsidP="00C46767">
            <w:pPr>
              <w:jc w:val="center"/>
              <w:rPr>
                <w:szCs w:val="24"/>
              </w:rPr>
            </w:pPr>
            <w:r w:rsidRPr="000C3750">
              <w:rPr>
                <w:szCs w:val="24"/>
              </w:rPr>
              <w:t>12.6</w:t>
            </w:r>
          </w:p>
        </w:tc>
      </w:tr>
      <w:tr w:rsidR="00DB0891" w:rsidRPr="000C3750" w:rsidTr="00DB0891">
        <w:tc>
          <w:tcPr>
            <w:tcW w:w="1620" w:type="dxa"/>
          </w:tcPr>
          <w:p w:rsidR="00DB0891" w:rsidRPr="000C3750" w:rsidRDefault="00DB0891" w:rsidP="00C46767">
            <w:pPr>
              <w:rPr>
                <w:szCs w:val="24"/>
              </w:rPr>
            </w:pPr>
            <w:r w:rsidRPr="000C3750">
              <w:rPr>
                <w:szCs w:val="24"/>
              </w:rPr>
              <w:t>20</w:t>
            </w:r>
          </w:p>
        </w:tc>
        <w:tc>
          <w:tcPr>
            <w:tcW w:w="1170" w:type="dxa"/>
            <w:vAlign w:val="bottom"/>
          </w:tcPr>
          <w:p w:rsidR="00DB0891" w:rsidRPr="000C3750" w:rsidRDefault="00DB0891" w:rsidP="00C46767">
            <w:pPr>
              <w:jc w:val="center"/>
              <w:rPr>
                <w:szCs w:val="24"/>
              </w:rPr>
            </w:pPr>
            <w:r w:rsidRPr="000C3750">
              <w:rPr>
                <w:szCs w:val="24"/>
              </w:rPr>
              <w:t>10.2b</w:t>
            </w:r>
          </w:p>
        </w:tc>
        <w:tc>
          <w:tcPr>
            <w:tcW w:w="990" w:type="dxa"/>
            <w:vAlign w:val="bottom"/>
          </w:tcPr>
          <w:p w:rsidR="00DB0891" w:rsidRPr="000C3750" w:rsidRDefault="00DB0891" w:rsidP="00C46767">
            <w:pPr>
              <w:jc w:val="center"/>
              <w:rPr>
                <w:szCs w:val="24"/>
              </w:rPr>
            </w:pPr>
            <w:r w:rsidRPr="000C3750">
              <w:rPr>
                <w:szCs w:val="24"/>
              </w:rPr>
              <w:t>40.2</w:t>
            </w:r>
          </w:p>
        </w:tc>
        <w:tc>
          <w:tcPr>
            <w:tcW w:w="1260" w:type="dxa"/>
            <w:vAlign w:val="bottom"/>
          </w:tcPr>
          <w:p w:rsidR="00DB0891" w:rsidRPr="000C3750" w:rsidRDefault="00DB0891" w:rsidP="00C46767">
            <w:pPr>
              <w:jc w:val="center"/>
              <w:rPr>
                <w:szCs w:val="24"/>
              </w:rPr>
            </w:pPr>
            <w:r w:rsidRPr="000C3750">
              <w:rPr>
                <w:szCs w:val="24"/>
              </w:rPr>
              <w:t>68.5</w:t>
            </w:r>
          </w:p>
        </w:tc>
        <w:tc>
          <w:tcPr>
            <w:tcW w:w="1170" w:type="dxa"/>
            <w:vAlign w:val="bottom"/>
          </w:tcPr>
          <w:p w:rsidR="00DB0891" w:rsidRPr="000C3750" w:rsidRDefault="00DB0891" w:rsidP="00C46767">
            <w:pPr>
              <w:jc w:val="center"/>
              <w:rPr>
                <w:szCs w:val="24"/>
              </w:rPr>
            </w:pPr>
            <w:r w:rsidRPr="000C3750">
              <w:rPr>
                <w:szCs w:val="24"/>
              </w:rPr>
              <w:t>98.9</w:t>
            </w:r>
          </w:p>
        </w:tc>
        <w:tc>
          <w:tcPr>
            <w:tcW w:w="900" w:type="dxa"/>
            <w:vAlign w:val="bottom"/>
          </w:tcPr>
          <w:p w:rsidR="00DB0891" w:rsidRPr="000C3750" w:rsidRDefault="00DB0891" w:rsidP="00C46767">
            <w:pPr>
              <w:jc w:val="center"/>
              <w:rPr>
                <w:szCs w:val="24"/>
              </w:rPr>
            </w:pPr>
            <w:r w:rsidRPr="000C3750">
              <w:rPr>
                <w:szCs w:val="24"/>
              </w:rPr>
              <w:t>98.2</w:t>
            </w:r>
          </w:p>
        </w:tc>
        <w:tc>
          <w:tcPr>
            <w:tcW w:w="1620" w:type="dxa"/>
            <w:vAlign w:val="bottom"/>
          </w:tcPr>
          <w:p w:rsidR="00DB0891" w:rsidRPr="000C3750" w:rsidRDefault="00DB0891" w:rsidP="00C46767">
            <w:pPr>
              <w:jc w:val="center"/>
              <w:rPr>
                <w:szCs w:val="24"/>
              </w:rPr>
            </w:pPr>
            <w:r w:rsidRPr="000C3750">
              <w:rPr>
                <w:szCs w:val="24"/>
              </w:rPr>
              <w:t>12.8</w:t>
            </w:r>
          </w:p>
        </w:tc>
      </w:tr>
      <w:tr w:rsidR="00DB0891" w:rsidRPr="000C3750" w:rsidTr="00DB0891">
        <w:tc>
          <w:tcPr>
            <w:tcW w:w="1620" w:type="dxa"/>
          </w:tcPr>
          <w:p w:rsidR="00DB0891" w:rsidRPr="000C3750" w:rsidRDefault="00DB0891" w:rsidP="00C46767">
            <w:pPr>
              <w:rPr>
                <w:szCs w:val="24"/>
              </w:rPr>
            </w:pPr>
            <w:r w:rsidRPr="000C3750">
              <w:rPr>
                <w:szCs w:val="24"/>
              </w:rPr>
              <w:t>30</w:t>
            </w:r>
          </w:p>
        </w:tc>
        <w:tc>
          <w:tcPr>
            <w:tcW w:w="1170" w:type="dxa"/>
            <w:vAlign w:val="bottom"/>
          </w:tcPr>
          <w:p w:rsidR="00DB0891" w:rsidRPr="000C3750" w:rsidRDefault="00DB0891" w:rsidP="00C46767">
            <w:pPr>
              <w:jc w:val="center"/>
              <w:rPr>
                <w:szCs w:val="24"/>
              </w:rPr>
            </w:pPr>
            <w:r w:rsidRPr="000C3750">
              <w:rPr>
                <w:szCs w:val="24"/>
              </w:rPr>
              <w:t>10.1b</w:t>
            </w:r>
          </w:p>
        </w:tc>
        <w:tc>
          <w:tcPr>
            <w:tcW w:w="990" w:type="dxa"/>
            <w:vAlign w:val="bottom"/>
          </w:tcPr>
          <w:p w:rsidR="00DB0891" w:rsidRPr="000C3750" w:rsidRDefault="00DB0891" w:rsidP="00C46767">
            <w:pPr>
              <w:jc w:val="center"/>
              <w:rPr>
                <w:szCs w:val="24"/>
              </w:rPr>
            </w:pPr>
            <w:r w:rsidRPr="000C3750">
              <w:rPr>
                <w:szCs w:val="24"/>
              </w:rPr>
              <w:t>40.0</w:t>
            </w:r>
          </w:p>
        </w:tc>
        <w:tc>
          <w:tcPr>
            <w:tcW w:w="1260" w:type="dxa"/>
            <w:vAlign w:val="bottom"/>
          </w:tcPr>
          <w:p w:rsidR="00DB0891" w:rsidRPr="000C3750" w:rsidRDefault="00DB0891" w:rsidP="00C46767">
            <w:pPr>
              <w:jc w:val="center"/>
              <w:rPr>
                <w:szCs w:val="24"/>
              </w:rPr>
            </w:pPr>
            <w:r w:rsidRPr="000C3750">
              <w:rPr>
                <w:szCs w:val="24"/>
              </w:rPr>
              <w:t>67.9</w:t>
            </w:r>
          </w:p>
        </w:tc>
        <w:tc>
          <w:tcPr>
            <w:tcW w:w="1170" w:type="dxa"/>
            <w:vAlign w:val="bottom"/>
          </w:tcPr>
          <w:p w:rsidR="00DB0891" w:rsidRPr="000C3750" w:rsidRDefault="00DB0891" w:rsidP="00C46767">
            <w:pPr>
              <w:jc w:val="center"/>
              <w:rPr>
                <w:szCs w:val="24"/>
              </w:rPr>
            </w:pPr>
            <w:r w:rsidRPr="000C3750">
              <w:rPr>
                <w:szCs w:val="24"/>
              </w:rPr>
              <w:t>98.8</w:t>
            </w:r>
          </w:p>
        </w:tc>
        <w:tc>
          <w:tcPr>
            <w:tcW w:w="900" w:type="dxa"/>
            <w:vAlign w:val="bottom"/>
          </w:tcPr>
          <w:p w:rsidR="00DB0891" w:rsidRPr="000C3750" w:rsidRDefault="00DB0891" w:rsidP="00C46767">
            <w:pPr>
              <w:jc w:val="center"/>
              <w:rPr>
                <w:szCs w:val="24"/>
              </w:rPr>
            </w:pPr>
            <w:r w:rsidRPr="000C3750">
              <w:rPr>
                <w:szCs w:val="24"/>
              </w:rPr>
              <w:t>98.4</w:t>
            </w:r>
          </w:p>
        </w:tc>
        <w:tc>
          <w:tcPr>
            <w:tcW w:w="1620" w:type="dxa"/>
            <w:vAlign w:val="bottom"/>
          </w:tcPr>
          <w:p w:rsidR="00DB0891" w:rsidRPr="000C3750" w:rsidRDefault="00DB0891" w:rsidP="00C46767">
            <w:pPr>
              <w:jc w:val="center"/>
              <w:rPr>
                <w:szCs w:val="24"/>
              </w:rPr>
            </w:pPr>
            <w:r w:rsidRPr="000C3750">
              <w:rPr>
                <w:szCs w:val="24"/>
              </w:rPr>
              <w:t>12.7</w:t>
            </w:r>
          </w:p>
        </w:tc>
      </w:tr>
      <w:tr w:rsidR="00DB0891" w:rsidRPr="000C3750" w:rsidTr="00DB0891">
        <w:trPr>
          <w:trHeight w:val="197"/>
        </w:trPr>
        <w:tc>
          <w:tcPr>
            <w:tcW w:w="1620" w:type="dxa"/>
            <w:tcBorders>
              <w:top w:val="single" w:sz="12" w:space="0" w:color="auto"/>
              <w:bottom w:val="single" w:sz="12" w:space="0" w:color="auto"/>
            </w:tcBorders>
            <w:vAlign w:val="bottom"/>
          </w:tcPr>
          <w:p w:rsidR="00DB0891" w:rsidRPr="000C3750" w:rsidRDefault="00DB0891" w:rsidP="00C46767">
            <w:pPr>
              <w:jc w:val="center"/>
              <w:rPr>
                <w:szCs w:val="24"/>
              </w:rPr>
            </w:pPr>
            <w:proofErr w:type="spellStart"/>
            <w:r w:rsidRPr="000C3750">
              <w:rPr>
                <w:szCs w:val="24"/>
              </w:rPr>
              <w:t>Cv</w:t>
            </w:r>
            <w:proofErr w:type="spellEnd"/>
            <w:r w:rsidRPr="000C3750">
              <w:rPr>
                <w:szCs w:val="24"/>
              </w:rPr>
              <w:t>(%)</w:t>
            </w:r>
          </w:p>
        </w:tc>
        <w:tc>
          <w:tcPr>
            <w:tcW w:w="117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4.4</w:t>
            </w:r>
          </w:p>
        </w:tc>
        <w:tc>
          <w:tcPr>
            <w:tcW w:w="99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4.3</w:t>
            </w:r>
          </w:p>
        </w:tc>
        <w:tc>
          <w:tcPr>
            <w:tcW w:w="126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2.7</w:t>
            </w:r>
          </w:p>
        </w:tc>
        <w:tc>
          <w:tcPr>
            <w:tcW w:w="117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0.6</w:t>
            </w:r>
          </w:p>
        </w:tc>
        <w:tc>
          <w:tcPr>
            <w:tcW w:w="90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0.6</w:t>
            </w:r>
          </w:p>
        </w:tc>
        <w:tc>
          <w:tcPr>
            <w:tcW w:w="1620" w:type="dxa"/>
            <w:tcBorders>
              <w:top w:val="single" w:sz="12" w:space="0" w:color="auto"/>
              <w:bottom w:val="single" w:sz="12" w:space="0" w:color="auto"/>
            </w:tcBorders>
            <w:vAlign w:val="bottom"/>
          </w:tcPr>
          <w:p w:rsidR="00DB0891" w:rsidRPr="000C3750" w:rsidRDefault="00DB0891" w:rsidP="00C46767">
            <w:pPr>
              <w:jc w:val="center"/>
              <w:rPr>
                <w:szCs w:val="24"/>
              </w:rPr>
            </w:pPr>
            <w:r w:rsidRPr="000C3750">
              <w:rPr>
                <w:szCs w:val="24"/>
              </w:rPr>
              <w:t>3.4</w:t>
            </w:r>
          </w:p>
        </w:tc>
      </w:tr>
    </w:tbl>
    <w:p w:rsidR="00DB0891" w:rsidRPr="000C3750" w:rsidRDefault="00DB0891" w:rsidP="00DB0891">
      <w:pPr>
        <w:widowControl w:val="0"/>
        <w:autoSpaceDE w:val="0"/>
        <w:autoSpaceDN w:val="0"/>
        <w:adjustRightInd w:val="0"/>
        <w:spacing w:after="0" w:line="240" w:lineRule="auto"/>
        <w:jc w:val="both"/>
        <w:rPr>
          <w:rFonts w:eastAsia="Times New Roman"/>
          <w:i/>
          <w:szCs w:val="20"/>
          <w:lang w:val="bg-BG" w:eastAsia="bg-BG"/>
        </w:rPr>
      </w:pPr>
      <w:r w:rsidRPr="000C3750">
        <w:rPr>
          <w:rFonts w:eastAsia="Times New Roman"/>
          <w:i/>
          <w:szCs w:val="20"/>
          <w:lang w:val="bg-BG" w:eastAsia="bg-BG"/>
        </w:rPr>
        <w:t>Means</w:t>
      </w:r>
      <w:r w:rsidRPr="000C3750">
        <w:rPr>
          <w:rFonts w:eastAsia="Times New Roman"/>
          <w:i/>
          <w:spacing w:val="8"/>
          <w:szCs w:val="20"/>
          <w:lang w:val="bg-BG" w:eastAsia="bg-BG"/>
        </w:rPr>
        <w:t xml:space="preserve"> </w:t>
      </w:r>
      <w:r w:rsidRPr="000C3750">
        <w:rPr>
          <w:rFonts w:eastAsia="Times New Roman"/>
          <w:i/>
          <w:szCs w:val="20"/>
          <w:lang w:val="bg-BG" w:eastAsia="bg-BG"/>
        </w:rPr>
        <w:t>followed</w:t>
      </w:r>
      <w:r w:rsidRPr="000C3750">
        <w:rPr>
          <w:rFonts w:eastAsia="Times New Roman"/>
          <w:i/>
          <w:spacing w:val="7"/>
          <w:szCs w:val="20"/>
          <w:lang w:val="bg-BG" w:eastAsia="bg-BG"/>
        </w:rPr>
        <w:t xml:space="preserve"> </w:t>
      </w:r>
      <w:r w:rsidRPr="000C3750">
        <w:rPr>
          <w:rFonts w:eastAsia="Times New Roman"/>
          <w:i/>
          <w:spacing w:val="3"/>
          <w:szCs w:val="20"/>
          <w:lang w:val="bg-BG" w:eastAsia="bg-BG"/>
        </w:rPr>
        <w:t>b</w:t>
      </w:r>
      <w:r w:rsidRPr="000C3750">
        <w:rPr>
          <w:rFonts w:eastAsia="Times New Roman"/>
          <w:i/>
          <w:szCs w:val="20"/>
          <w:lang w:val="bg-BG" w:eastAsia="bg-BG"/>
        </w:rPr>
        <w:t>y</w:t>
      </w:r>
      <w:r w:rsidRPr="000C3750">
        <w:rPr>
          <w:rFonts w:eastAsia="Times New Roman"/>
          <w:i/>
          <w:spacing w:val="8"/>
          <w:szCs w:val="20"/>
          <w:lang w:val="bg-BG" w:eastAsia="bg-BG"/>
        </w:rPr>
        <w:t xml:space="preserve"> </w:t>
      </w:r>
      <w:r w:rsidRPr="000C3750">
        <w:rPr>
          <w:rFonts w:eastAsia="Times New Roman"/>
          <w:i/>
          <w:szCs w:val="20"/>
          <w:lang w:val="bg-BG" w:eastAsia="bg-BG"/>
        </w:rPr>
        <w:t>the</w:t>
      </w:r>
      <w:r w:rsidRPr="000C3750">
        <w:rPr>
          <w:rFonts w:eastAsia="Times New Roman"/>
          <w:i/>
          <w:spacing w:val="7"/>
          <w:szCs w:val="20"/>
          <w:lang w:val="bg-BG" w:eastAsia="bg-BG"/>
        </w:rPr>
        <w:t xml:space="preserve"> </w:t>
      </w:r>
      <w:r w:rsidRPr="000C3750">
        <w:rPr>
          <w:rFonts w:eastAsia="Times New Roman"/>
          <w:i/>
          <w:szCs w:val="20"/>
          <w:lang w:val="bg-BG" w:eastAsia="bg-BG"/>
        </w:rPr>
        <w:t>same</w:t>
      </w:r>
      <w:r w:rsidRPr="000C3750">
        <w:rPr>
          <w:rFonts w:eastAsia="Times New Roman"/>
          <w:i/>
          <w:spacing w:val="7"/>
          <w:szCs w:val="20"/>
          <w:lang w:val="bg-BG" w:eastAsia="bg-BG"/>
        </w:rPr>
        <w:t xml:space="preserve"> </w:t>
      </w:r>
      <w:r w:rsidRPr="000C3750">
        <w:rPr>
          <w:rFonts w:eastAsia="Times New Roman"/>
          <w:i/>
          <w:szCs w:val="20"/>
          <w:lang w:val="bg-BG" w:eastAsia="bg-BG"/>
        </w:rPr>
        <w:t>letter</w:t>
      </w:r>
      <w:r w:rsidRPr="000C3750">
        <w:rPr>
          <w:rFonts w:eastAsia="Times New Roman"/>
          <w:i/>
          <w:spacing w:val="7"/>
          <w:szCs w:val="20"/>
          <w:lang w:val="bg-BG" w:eastAsia="bg-BG"/>
        </w:rPr>
        <w:t xml:space="preserve"> </w:t>
      </w:r>
      <w:r w:rsidRPr="000C3750">
        <w:rPr>
          <w:rFonts w:eastAsia="Times New Roman"/>
          <w:i/>
          <w:szCs w:val="20"/>
          <w:lang w:val="bg-BG" w:eastAsia="bg-BG"/>
        </w:rPr>
        <w:t>within</w:t>
      </w:r>
      <w:r w:rsidRPr="000C3750">
        <w:rPr>
          <w:rFonts w:eastAsia="Times New Roman"/>
          <w:i/>
          <w:spacing w:val="7"/>
          <w:szCs w:val="20"/>
          <w:lang w:val="bg-BG" w:eastAsia="bg-BG"/>
        </w:rPr>
        <w:t xml:space="preserve"> </w:t>
      </w:r>
      <w:r w:rsidRPr="000C3750">
        <w:rPr>
          <w:rFonts w:eastAsia="Times New Roman"/>
          <w:i/>
          <w:szCs w:val="20"/>
          <w:lang w:val="bg-BG" w:eastAsia="bg-BG"/>
        </w:rPr>
        <w:t>a</w:t>
      </w:r>
      <w:r w:rsidRPr="000C3750">
        <w:rPr>
          <w:rFonts w:eastAsia="Times New Roman"/>
          <w:i/>
          <w:spacing w:val="7"/>
          <w:szCs w:val="20"/>
          <w:lang w:val="bg-BG" w:eastAsia="bg-BG"/>
        </w:rPr>
        <w:t xml:space="preserve"> </w:t>
      </w:r>
      <w:r w:rsidRPr="000C3750">
        <w:rPr>
          <w:rFonts w:eastAsia="Times New Roman"/>
          <w:i/>
          <w:szCs w:val="20"/>
          <w:lang w:val="bg-BG" w:eastAsia="bg-BG"/>
        </w:rPr>
        <w:t>column</w:t>
      </w:r>
      <w:r w:rsidRPr="000C3750">
        <w:rPr>
          <w:rFonts w:eastAsia="Times New Roman"/>
          <w:i/>
          <w:spacing w:val="8"/>
          <w:szCs w:val="20"/>
          <w:lang w:val="bg-BG" w:eastAsia="bg-BG"/>
        </w:rPr>
        <w:t xml:space="preserve"> </w:t>
      </w:r>
      <w:r w:rsidRPr="000C3750">
        <w:rPr>
          <w:rFonts w:eastAsia="Times New Roman"/>
          <w:i/>
          <w:szCs w:val="20"/>
          <w:lang w:val="bg-BG" w:eastAsia="bg-BG"/>
        </w:rPr>
        <w:t>are</w:t>
      </w:r>
      <w:r w:rsidRPr="000C3750">
        <w:rPr>
          <w:rFonts w:eastAsia="Times New Roman"/>
          <w:i/>
          <w:spacing w:val="8"/>
          <w:szCs w:val="20"/>
          <w:lang w:val="bg-BG" w:eastAsia="bg-BG"/>
        </w:rPr>
        <w:t xml:space="preserve"> </w:t>
      </w:r>
      <w:r w:rsidRPr="000C3750">
        <w:rPr>
          <w:rFonts w:eastAsia="Times New Roman"/>
          <w:i/>
          <w:szCs w:val="20"/>
          <w:lang w:val="bg-BG" w:eastAsia="bg-BG"/>
        </w:rPr>
        <w:t>not</w:t>
      </w:r>
      <w:r w:rsidRPr="000C3750">
        <w:rPr>
          <w:rFonts w:eastAsia="Times New Roman"/>
          <w:i/>
          <w:spacing w:val="9"/>
          <w:szCs w:val="20"/>
          <w:lang w:val="bg-BG" w:eastAsia="bg-BG"/>
        </w:rPr>
        <w:t xml:space="preserve"> </w:t>
      </w:r>
      <w:r w:rsidRPr="000C3750">
        <w:rPr>
          <w:rFonts w:eastAsia="Times New Roman"/>
          <w:i/>
          <w:szCs w:val="20"/>
          <w:lang w:val="bg-BG" w:eastAsia="bg-BG"/>
        </w:rPr>
        <w:t>significant</w:t>
      </w:r>
      <w:r w:rsidRPr="000C3750">
        <w:rPr>
          <w:rFonts w:eastAsia="Times New Roman"/>
          <w:i/>
          <w:spacing w:val="5"/>
          <w:szCs w:val="20"/>
          <w:lang w:val="bg-BG" w:eastAsia="bg-BG"/>
        </w:rPr>
        <w:t>l</w:t>
      </w:r>
      <w:r w:rsidRPr="000C3750">
        <w:rPr>
          <w:rFonts w:eastAsia="Times New Roman"/>
          <w:i/>
          <w:szCs w:val="20"/>
          <w:lang w:val="bg-BG" w:eastAsia="bg-BG"/>
        </w:rPr>
        <w:t>y</w:t>
      </w:r>
      <w:r w:rsidRPr="000C3750">
        <w:rPr>
          <w:rFonts w:eastAsia="Times New Roman"/>
          <w:i/>
          <w:spacing w:val="11"/>
          <w:szCs w:val="20"/>
          <w:lang w:val="bg-BG" w:eastAsia="bg-BG"/>
        </w:rPr>
        <w:t xml:space="preserve"> </w:t>
      </w:r>
      <w:r w:rsidRPr="000C3750">
        <w:rPr>
          <w:rFonts w:eastAsia="Times New Roman"/>
          <w:i/>
          <w:szCs w:val="20"/>
          <w:lang w:val="bg-BG" w:eastAsia="bg-BG"/>
        </w:rPr>
        <w:t>different</w:t>
      </w:r>
      <w:r w:rsidRPr="000C3750">
        <w:rPr>
          <w:rFonts w:eastAsia="Times New Roman"/>
          <w:i/>
          <w:spacing w:val="8"/>
          <w:szCs w:val="20"/>
          <w:lang w:val="bg-BG" w:eastAsia="bg-BG"/>
        </w:rPr>
        <w:t xml:space="preserve"> </w:t>
      </w:r>
      <w:r w:rsidRPr="000C3750">
        <w:rPr>
          <w:rFonts w:eastAsia="Times New Roman"/>
          <w:i/>
          <w:szCs w:val="20"/>
          <w:lang w:val="bg-BG" w:eastAsia="bg-BG"/>
        </w:rPr>
        <w:t>at the</w:t>
      </w:r>
      <w:r w:rsidRPr="000C3750">
        <w:rPr>
          <w:rFonts w:eastAsia="Times New Roman"/>
          <w:i/>
          <w:spacing w:val="9"/>
          <w:szCs w:val="20"/>
          <w:lang w:val="bg-BG" w:eastAsia="bg-BG"/>
        </w:rPr>
        <w:t xml:space="preserve"> </w:t>
      </w:r>
      <w:r w:rsidRPr="000C3750">
        <w:rPr>
          <w:rFonts w:eastAsia="Times New Roman"/>
          <w:i/>
          <w:szCs w:val="20"/>
          <w:lang w:val="bg-BG" w:eastAsia="bg-BG"/>
        </w:rPr>
        <w:t>5%</w:t>
      </w:r>
      <w:r w:rsidRPr="000C3750">
        <w:rPr>
          <w:rFonts w:eastAsia="Times New Roman"/>
          <w:i/>
          <w:spacing w:val="7"/>
          <w:szCs w:val="20"/>
          <w:lang w:val="bg-BG" w:eastAsia="bg-BG"/>
        </w:rPr>
        <w:t xml:space="preserve"> </w:t>
      </w:r>
      <w:r w:rsidRPr="000C3750">
        <w:rPr>
          <w:rFonts w:eastAsia="Times New Roman"/>
          <w:i/>
          <w:szCs w:val="20"/>
          <w:lang w:val="bg-BG" w:eastAsia="bg-BG"/>
        </w:rPr>
        <w:t>significance level,</w:t>
      </w:r>
      <w:r w:rsidRPr="000C3750">
        <w:rPr>
          <w:rFonts w:eastAsia="Times New Roman"/>
          <w:i/>
          <w:spacing w:val="33"/>
          <w:szCs w:val="20"/>
          <w:lang w:eastAsia="bg-BG"/>
        </w:rPr>
        <w:t xml:space="preserve"> </w:t>
      </w:r>
      <w:r w:rsidRPr="000C3750">
        <w:rPr>
          <w:rFonts w:eastAsia="Times New Roman"/>
          <w:i/>
          <w:szCs w:val="20"/>
          <w:lang w:val="bg-BG" w:eastAsia="bg-BG"/>
        </w:rPr>
        <w:t>NS</w:t>
      </w:r>
      <w:r w:rsidRPr="000C3750">
        <w:rPr>
          <w:rFonts w:eastAsia="Times New Roman"/>
          <w:i/>
          <w:spacing w:val="33"/>
          <w:szCs w:val="20"/>
          <w:lang w:val="bg-BG" w:eastAsia="bg-BG"/>
        </w:rPr>
        <w:t xml:space="preserve"> </w:t>
      </w:r>
      <w:r w:rsidRPr="000C3750">
        <w:rPr>
          <w:rFonts w:eastAsia="Times New Roman"/>
          <w:i/>
          <w:szCs w:val="20"/>
          <w:lang w:val="bg-BG" w:eastAsia="bg-BG"/>
        </w:rPr>
        <w:t>s</w:t>
      </w:r>
      <w:r w:rsidRPr="000C3750">
        <w:rPr>
          <w:rFonts w:eastAsia="Times New Roman"/>
          <w:i/>
          <w:spacing w:val="1"/>
          <w:szCs w:val="20"/>
          <w:lang w:val="bg-BG" w:eastAsia="bg-BG"/>
        </w:rPr>
        <w:t>h</w:t>
      </w:r>
      <w:r w:rsidRPr="000C3750">
        <w:rPr>
          <w:rFonts w:eastAsia="Times New Roman"/>
          <w:i/>
          <w:szCs w:val="20"/>
          <w:lang w:val="bg-BG" w:eastAsia="bg-BG"/>
        </w:rPr>
        <w:t>owed</w:t>
      </w:r>
      <w:r w:rsidRPr="000C3750">
        <w:rPr>
          <w:rFonts w:eastAsia="Times New Roman"/>
          <w:i/>
          <w:spacing w:val="33"/>
          <w:szCs w:val="20"/>
          <w:lang w:val="bg-BG" w:eastAsia="bg-BG"/>
        </w:rPr>
        <w:t xml:space="preserve"> </w:t>
      </w:r>
      <w:r w:rsidRPr="000C3750">
        <w:rPr>
          <w:rFonts w:eastAsia="Times New Roman"/>
          <w:i/>
          <w:szCs w:val="20"/>
          <w:lang w:val="bg-BG" w:eastAsia="bg-BG"/>
        </w:rPr>
        <w:t>sign</w:t>
      </w:r>
      <w:r w:rsidRPr="000C3750">
        <w:rPr>
          <w:rFonts w:eastAsia="Times New Roman"/>
          <w:i/>
          <w:spacing w:val="2"/>
          <w:szCs w:val="20"/>
          <w:lang w:val="bg-BG" w:eastAsia="bg-BG"/>
        </w:rPr>
        <w:t>i</w:t>
      </w:r>
      <w:r w:rsidRPr="000C3750">
        <w:rPr>
          <w:rFonts w:eastAsia="Times New Roman"/>
          <w:i/>
          <w:szCs w:val="20"/>
          <w:lang w:val="bg-BG" w:eastAsia="bg-BG"/>
        </w:rPr>
        <w:t>ficant</w:t>
      </w:r>
      <w:r w:rsidRPr="000C3750">
        <w:rPr>
          <w:rFonts w:eastAsia="Times New Roman"/>
          <w:i/>
          <w:spacing w:val="33"/>
          <w:szCs w:val="20"/>
          <w:lang w:val="bg-BG" w:eastAsia="bg-BG"/>
        </w:rPr>
        <w:t xml:space="preserve"> </w:t>
      </w:r>
      <w:r w:rsidRPr="000C3750">
        <w:rPr>
          <w:rFonts w:eastAsia="Times New Roman"/>
          <w:i/>
          <w:szCs w:val="20"/>
          <w:lang w:val="bg-BG" w:eastAsia="bg-BG"/>
        </w:rPr>
        <w:t>differences</w:t>
      </w:r>
      <w:r w:rsidRPr="000C3750">
        <w:rPr>
          <w:rFonts w:eastAsia="Times New Roman"/>
          <w:i/>
          <w:spacing w:val="32"/>
          <w:szCs w:val="20"/>
          <w:lang w:val="bg-BG" w:eastAsia="bg-BG"/>
        </w:rPr>
        <w:t xml:space="preserve"> </w:t>
      </w:r>
      <w:r w:rsidRPr="000C3750">
        <w:rPr>
          <w:rFonts w:eastAsia="Times New Roman"/>
          <w:i/>
          <w:szCs w:val="20"/>
          <w:lang w:val="bg-BG" w:eastAsia="bg-BG"/>
        </w:rPr>
        <w:t>MC = moisture content, TGW = thousand grain weight, HLW = hectoliter weight, GC = gelation capacity, GE = gelation energy.</w:t>
      </w:r>
    </w:p>
    <w:p w:rsidR="003314D2" w:rsidRPr="000C3750" w:rsidRDefault="003314D2" w:rsidP="00050DD9">
      <w:pPr>
        <w:widowControl w:val="0"/>
        <w:autoSpaceDE w:val="0"/>
        <w:autoSpaceDN w:val="0"/>
        <w:adjustRightInd w:val="0"/>
        <w:spacing w:after="0" w:line="264" w:lineRule="exact"/>
        <w:ind w:right="-450"/>
        <w:rPr>
          <w:rFonts w:eastAsia="Times New Roman"/>
          <w:i/>
          <w:spacing w:val="32"/>
          <w:szCs w:val="20"/>
          <w:lang w:eastAsia="bg-BG"/>
        </w:rPr>
      </w:pPr>
    </w:p>
    <w:p w:rsidR="00050DD9" w:rsidRPr="000C3750" w:rsidRDefault="00050DD9" w:rsidP="00050DD9">
      <w:pPr>
        <w:widowControl w:val="0"/>
        <w:autoSpaceDE w:val="0"/>
        <w:autoSpaceDN w:val="0"/>
        <w:adjustRightInd w:val="0"/>
        <w:spacing w:after="0" w:line="264" w:lineRule="exact"/>
        <w:ind w:right="-450"/>
        <w:rPr>
          <w:b/>
          <w:szCs w:val="24"/>
          <w:lang w:val="am-ET"/>
        </w:rPr>
      </w:pPr>
      <w:r w:rsidRPr="000C3750">
        <w:rPr>
          <w:b/>
          <w:szCs w:val="24"/>
        </w:rPr>
        <w:lastRenderedPageBreak/>
        <w:t>Table 7: The Effect of Lime Interaction and Location on Sieve</w:t>
      </w:r>
      <w:r w:rsidRPr="000C3750">
        <w:rPr>
          <w:b/>
          <w:bCs/>
          <w:szCs w:val="24"/>
        </w:rPr>
        <w:t xml:space="preserve"> </w:t>
      </w:r>
      <w:r w:rsidRPr="000C3750">
        <w:rPr>
          <w:b/>
          <w:szCs w:val="24"/>
        </w:rPr>
        <w:t>and Malt Barley Protein Content</w:t>
      </w:r>
    </w:p>
    <w:tbl>
      <w:tblPr>
        <w:tblStyle w:val="TableGrid"/>
        <w:tblpPr w:leftFromText="180" w:rightFromText="180" w:vertAnchor="text" w:horzAnchor="margin" w:tblpY="28"/>
        <w:tblW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5"/>
        <w:gridCol w:w="2700"/>
        <w:gridCol w:w="2515"/>
      </w:tblGrid>
      <w:tr w:rsidR="00827AE3" w:rsidRPr="000C3750" w:rsidTr="00827AE3">
        <w:tc>
          <w:tcPr>
            <w:tcW w:w="3965" w:type="dxa"/>
            <w:gridSpan w:val="2"/>
            <w:tcBorders>
              <w:top w:val="single" w:sz="12" w:space="0" w:color="auto"/>
            </w:tcBorders>
            <w:vAlign w:val="bottom"/>
          </w:tcPr>
          <w:p w:rsidR="00827AE3" w:rsidRPr="000C3750" w:rsidRDefault="00827AE3" w:rsidP="00292FDF">
            <w:pPr>
              <w:jc w:val="center"/>
              <w:rPr>
                <w:szCs w:val="24"/>
              </w:rPr>
            </w:pPr>
            <w:r w:rsidRPr="000C3750">
              <w:rPr>
                <w:szCs w:val="24"/>
              </w:rPr>
              <w:t>Treatments</w:t>
            </w:r>
          </w:p>
        </w:tc>
        <w:tc>
          <w:tcPr>
            <w:tcW w:w="2515" w:type="dxa"/>
            <w:vMerge w:val="restart"/>
            <w:tcBorders>
              <w:top w:val="single" w:sz="12" w:space="0" w:color="auto"/>
            </w:tcBorders>
            <w:vAlign w:val="bottom"/>
          </w:tcPr>
          <w:p w:rsidR="00827AE3" w:rsidRPr="000C3750" w:rsidRDefault="00827AE3" w:rsidP="00292FDF">
            <w:pPr>
              <w:jc w:val="center"/>
              <w:rPr>
                <w:bCs/>
              </w:rPr>
            </w:pPr>
            <w:r w:rsidRPr="000C3750">
              <w:t>Protein content (%)</w:t>
            </w:r>
          </w:p>
          <w:p w:rsidR="00827AE3" w:rsidRPr="000C3750" w:rsidRDefault="00827AE3" w:rsidP="00292FDF">
            <w:pPr>
              <w:jc w:val="center"/>
              <w:rPr>
                <w:bCs/>
                <w:sz w:val="16"/>
                <w:szCs w:val="16"/>
              </w:rPr>
            </w:pPr>
          </w:p>
        </w:tc>
      </w:tr>
      <w:tr w:rsidR="00827AE3" w:rsidRPr="000C3750" w:rsidTr="00827AE3">
        <w:tc>
          <w:tcPr>
            <w:tcW w:w="1265" w:type="dxa"/>
            <w:tcBorders>
              <w:bottom w:val="single" w:sz="4" w:space="0" w:color="000000" w:themeColor="text1"/>
            </w:tcBorders>
          </w:tcPr>
          <w:p w:rsidR="00827AE3" w:rsidRPr="000C3750" w:rsidRDefault="00827AE3" w:rsidP="00292FDF">
            <w:pPr>
              <w:rPr>
                <w:szCs w:val="24"/>
              </w:rPr>
            </w:pPr>
            <w:r w:rsidRPr="000C3750">
              <w:rPr>
                <w:szCs w:val="24"/>
              </w:rPr>
              <w:t>Location</w:t>
            </w:r>
          </w:p>
        </w:tc>
        <w:tc>
          <w:tcPr>
            <w:tcW w:w="2700" w:type="dxa"/>
            <w:tcBorders>
              <w:bottom w:val="single" w:sz="4" w:space="0" w:color="000000" w:themeColor="text1"/>
            </w:tcBorders>
          </w:tcPr>
          <w:p w:rsidR="00827AE3" w:rsidRPr="000C3750" w:rsidRDefault="00827AE3" w:rsidP="00292FDF">
            <w:pPr>
              <w:rPr>
                <w:szCs w:val="24"/>
              </w:rPr>
            </w:pPr>
            <w:r w:rsidRPr="000C3750">
              <w:rPr>
                <w:szCs w:val="24"/>
              </w:rPr>
              <w:t>Phosphorus rate (kg  ha</w:t>
            </w:r>
            <w:r w:rsidRPr="000C3750">
              <w:rPr>
                <w:szCs w:val="24"/>
                <w:vertAlign w:val="superscript"/>
              </w:rPr>
              <w:t>-1</w:t>
            </w:r>
            <w:r w:rsidRPr="000C3750">
              <w:rPr>
                <w:szCs w:val="24"/>
              </w:rPr>
              <w:t xml:space="preserve">) </w:t>
            </w:r>
          </w:p>
        </w:tc>
        <w:tc>
          <w:tcPr>
            <w:tcW w:w="2515" w:type="dxa"/>
            <w:vMerge/>
            <w:tcBorders>
              <w:bottom w:val="single" w:sz="12" w:space="0" w:color="auto"/>
            </w:tcBorders>
          </w:tcPr>
          <w:p w:rsidR="00827AE3" w:rsidRPr="000C3750" w:rsidRDefault="00827AE3" w:rsidP="00292FDF">
            <w:pPr>
              <w:rPr>
                <w:szCs w:val="24"/>
              </w:rPr>
            </w:pPr>
          </w:p>
        </w:tc>
      </w:tr>
      <w:tr w:rsidR="00827AE3" w:rsidRPr="000C3750" w:rsidTr="00827AE3">
        <w:tc>
          <w:tcPr>
            <w:tcW w:w="1265" w:type="dxa"/>
            <w:vMerge w:val="restart"/>
            <w:tcBorders>
              <w:top w:val="single" w:sz="4" w:space="0" w:color="000000" w:themeColor="text1"/>
            </w:tcBorders>
            <w:vAlign w:val="center"/>
          </w:tcPr>
          <w:p w:rsidR="00827AE3" w:rsidRPr="000C3750" w:rsidRDefault="00827AE3" w:rsidP="00292FDF">
            <w:pPr>
              <w:jc w:val="center"/>
              <w:rPr>
                <w:szCs w:val="24"/>
              </w:rPr>
            </w:pPr>
            <w:r w:rsidRPr="000C3750">
              <w:rPr>
                <w:szCs w:val="24"/>
              </w:rPr>
              <w:t>Kofele</w:t>
            </w:r>
          </w:p>
        </w:tc>
        <w:tc>
          <w:tcPr>
            <w:tcW w:w="2700" w:type="dxa"/>
            <w:tcBorders>
              <w:top w:val="single" w:sz="4" w:space="0" w:color="000000" w:themeColor="text1"/>
            </w:tcBorders>
            <w:vAlign w:val="center"/>
          </w:tcPr>
          <w:p w:rsidR="00827AE3" w:rsidRPr="000C3750" w:rsidRDefault="00827AE3" w:rsidP="00292FDF">
            <w:pPr>
              <w:jc w:val="center"/>
              <w:rPr>
                <w:szCs w:val="24"/>
              </w:rPr>
            </w:pPr>
            <w:r w:rsidRPr="000C3750">
              <w:rPr>
                <w:szCs w:val="24"/>
              </w:rPr>
              <w:t>0</w:t>
            </w:r>
          </w:p>
        </w:tc>
        <w:tc>
          <w:tcPr>
            <w:tcW w:w="2515" w:type="dxa"/>
            <w:tcBorders>
              <w:top w:val="single" w:sz="12" w:space="0" w:color="auto"/>
            </w:tcBorders>
          </w:tcPr>
          <w:p w:rsidR="00827AE3" w:rsidRPr="000C3750" w:rsidRDefault="00827AE3" w:rsidP="00292FDF">
            <w:pPr>
              <w:jc w:val="center"/>
              <w:rPr>
                <w:szCs w:val="24"/>
              </w:rPr>
            </w:pPr>
            <w:r w:rsidRPr="000C3750">
              <w:rPr>
                <w:szCs w:val="16"/>
              </w:rPr>
              <w:t>13.8</w:t>
            </w:r>
            <w:r w:rsidRPr="000C3750">
              <w:rPr>
                <w:szCs w:val="16"/>
                <w:vertAlign w:val="superscript"/>
              </w:rPr>
              <w:t>b</w:t>
            </w:r>
          </w:p>
        </w:tc>
      </w:tr>
      <w:tr w:rsidR="00827AE3" w:rsidRPr="000C3750" w:rsidTr="00827AE3">
        <w:tc>
          <w:tcPr>
            <w:tcW w:w="1265" w:type="dxa"/>
            <w:vMerge/>
          </w:tcPr>
          <w:p w:rsidR="00827AE3" w:rsidRPr="000C3750" w:rsidRDefault="00827AE3" w:rsidP="00292FDF">
            <w:pPr>
              <w:rPr>
                <w:szCs w:val="24"/>
              </w:rPr>
            </w:pPr>
          </w:p>
        </w:tc>
        <w:tc>
          <w:tcPr>
            <w:tcW w:w="2700" w:type="dxa"/>
            <w:vAlign w:val="center"/>
          </w:tcPr>
          <w:p w:rsidR="00827AE3" w:rsidRPr="000C3750" w:rsidRDefault="00827AE3" w:rsidP="00292FDF">
            <w:pPr>
              <w:jc w:val="center"/>
              <w:rPr>
                <w:szCs w:val="24"/>
              </w:rPr>
            </w:pPr>
            <w:r w:rsidRPr="000C3750">
              <w:rPr>
                <w:szCs w:val="24"/>
              </w:rPr>
              <w:t>10</w:t>
            </w:r>
          </w:p>
        </w:tc>
        <w:tc>
          <w:tcPr>
            <w:tcW w:w="2515" w:type="dxa"/>
          </w:tcPr>
          <w:p w:rsidR="00827AE3" w:rsidRPr="000C3750" w:rsidRDefault="00827AE3" w:rsidP="00292FDF">
            <w:pPr>
              <w:jc w:val="center"/>
              <w:rPr>
                <w:szCs w:val="24"/>
              </w:rPr>
            </w:pPr>
            <w:r w:rsidRPr="000C3750">
              <w:rPr>
                <w:szCs w:val="16"/>
              </w:rPr>
              <w:t>13.9</w:t>
            </w:r>
            <w:r w:rsidRPr="000C3750">
              <w:rPr>
                <w:szCs w:val="16"/>
                <w:vertAlign w:val="superscript"/>
              </w:rPr>
              <w:t>b</w:t>
            </w:r>
          </w:p>
        </w:tc>
      </w:tr>
      <w:tr w:rsidR="00827AE3" w:rsidRPr="000C3750" w:rsidTr="00827AE3">
        <w:tc>
          <w:tcPr>
            <w:tcW w:w="1265" w:type="dxa"/>
            <w:vMerge/>
          </w:tcPr>
          <w:p w:rsidR="00827AE3" w:rsidRPr="000C3750" w:rsidRDefault="00827AE3" w:rsidP="00292FDF">
            <w:pPr>
              <w:rPr>
                <w:szCs w:val="24"/>
              </w:rPr>
            </w:pPr>
          </w:p>
        </w:tc>
        <w:tc>
          <w:tcPr>
            <w:tcW w:w="2700" w:type="dxa"/>
            <w:vAlign w:val="center"/>
          </w:tcPr>
          <w:p w:rsidR="00827AE3" w:rsidRPr="000C3750" w:rsidRDefault="00827AE3" w:rsidP="00292FDF">
            <w:pPr>
              <w:jc w:val="center"/>
              <w:rPr>
                <w:szCs w:val="24"/>
              </w:rPr>
            </w:pPr>
            <w:r w:rsidRPr="000C3750">
              <w:rPr>
                <w:szCs w:val="24"/>
              </w:rPr>
              <w:t>20</w:t>
            </w:r>
          </w:p>
        </w:tc>
        <w:tc>
          <w:tcPr>
            <w:tcW w:w="2515" w:type="dxa"/>
          </w:tcPr>
          <w:p w:rsidR="00827AE3" w:rsidRPr="000C3750" w:rsidRDefault="00827AE3" w:rsidP="00292FDF">
            <w:pPr>
              <w:jc w:val="center"/>
              <w:rPr>
                <w:szCs w:val="24"/>
              </w:rPr>
            </w:pPr>
            <w:r w:rsidRPr="000C3750">
              <w:rPr>
                <w:szCs w:val="16"/>
              </w:rPr>
              <w:t>14.5</w:t>
            </w:r>
            <w:r w:rsidRPr="000C3750">
              <w:rPr>
                <w:szCs w:val="16"/>
                <w:vertAlign w:val="superscript"/>
              </w:rPr>
              <w:t>a</w:t>
            </w:r>
          </w:p>
        </w:tc>
      </w:tr>
      <w:tr w:rsidR="00827AE3" w:rsidRPr="000C3750" w:rsidTr="00827AE3">
        <w:tc>
          <w:tcPr>
            <w:tcW w:w="1265" w:type="dxa"/>
            <w:vMerge/>
            <w:tcBorders>
              <w:bottom w:val="single" w:sz="12" w:space="0" w:color="auto"/>
            </w:tcBorders>
          </w:tcPr>
          <w:p w:rsidR="00827AE3" w:rsidRPr="000C3750" w:rsidRDefault="00827AE3" w:rsidP="00292FDF">
            <w:pPr>
              <w:rPr>
                <w:szCs w:val="24"/>
              </w:rPr>
            </w:pPr>
          </w:p>
        </w:tc>
        <w:tc>
          <w:tcPr>
            <w:tcW w:w="2700" w:type="dxa"/>
            <w:tcBorders>
              <w:bottom w:val="single" w:sz="12" w:space="0" w:color="auto"/>
            </w:tcBorders>
            <w:vAlign w:val="center"/>
          </w:tcPr>
          <w:p w:rsidR="00827AE3" w:rsidRPr="000C3750" w:rsidRDefault="00827AE3" w:rsidP="00292FDF">
            <w:pPr>
              <w:jc w:val="center"/>
              <w:rPr>
                <w:szCs w:val="24"/>
              </w:rPr>
            </w:pPr>
            <w:r w:rsidRPr="000C3750">
              <w:rPr>
                <w:szCs w:val="24"/>
              </w:rPr>
              <w:t>30</w:t>
            </w:r>
          </w:p>
        </w:tc>
        <w:tc>
          <w:tcPr>
            <w:tcW w:w="2515" w:type="dxa"/>
            <w:tcBorders>
              <w:bottom w:val="single" w:sz="12" w:space="0" w:color="auto"/>
            </w:tcBorders>
          </w:tcPr>
          <w:p w:rsidR="00827AE3" w:rsidRPr="000C3750" w:rsidRDefault="00827AE3" w:rsidP="00292FDF">
            <w:pPr>
              <w:jc w:val="center"/>
            </w:pPr>
            <w:r w:rsidRPr="000C3750">
              <w:rPr>
                <w:szCs w:val="16"/>
              </w:rPr>
              <w:t>14.4</w:t>
            </w:r>
            <w:r w:rsidRPr="000C3750">
              <w:rPr>
                <w:szCs w:val="16"/>
                <w:vertAlign w:val="superscript"/>
              </w:rPr>
              <w:t>a</w:t>
            </w:r>
          </w:p>
        </w:tc>
      </w:tr>
      <w:tr w:rsidR="00827AE3" w:rsidRPr="000C3750" w:rsidTr="00827AE3">
        <w:tc>
          <w:tcPr>
            <w:tcW w:w="1265" w:type="dxa"/>
            <w:vMerge w:val="restart"/>
            <w:tcBorders>
              <w:top w:val="single" w:sz="12" w:space="0" w:color="auto"/>
            </w:tcBorders>
            <w:vAlign w:val="center"/>
          </w:tcPr>
          <w:p w:rsidR="00827AE3" w:rsidRPr="000C3750" w:rsidRDefault="00827AE3" w:rsidP="00292FDF">
            <w:pPr>
              <w:jc w:val="center"/>
              <w:rPr>
                <w:szCs w:val="24"/>
              </w:rPr>
            </w:pPr>
            <w:r w:rsidRPr="000C3750">
              <w:rPr>
                <w:szCs w:val="24"/>
              </w:rPr>
              <w:t>Bekoji</w:t>
            </w:r>
          </w:p>
        </w:tc>
        <w:tc>
          <w:tcPr>
            <w:tcW w:w="2700" w:type="dxa"/>
            <w:tcBorders>
              <w:top w:val="single" w:sz="12" w:space="0" w:color="auto"/>
            </w:tcBorders>
            <w:vAlign w:val="center"/>
          </w:tcPr>
          <w:p w:rsidR="00827AE3" w:rsidRPr="000C3750" w:rsidRDefault="00827AE3" w:rsidP="00292FDF">
            <w:pPr>
              <w:jc w:val="center"/>
              <w:rPr>
                <w:szCs w:val="24"/>
              </w:rPr>
            </w:pPr>
            <w:r w:rsidRPr="000C3750">
              <w:rPr>
                <w:szCs w:val="24"/>
              </w:rPr>
              <w:t>0.0</w:t>
            </w:r>
          </w:p>
        </w:tc>
        <w:tc>
          <w:tcPr>
            <w:tcW w:w="2515" w:type="dxa"/>
            <w:tcBorders>
              <w:top w:val="single" w:sz="12" w:space="0" w:color="auto"/>
            </w:tcBorders>
          </w:tcPr>
          <w:p w:rsidR="00827AE3" w:rsidRPr="000C3750" w:rsidRDefault="00827AE3" w:rsidP="00292FDF">
            <w:pPr>
              <w:jc w:val="center"/>
              <w:rPr>
                <w:szCs w:val="24"/>
              </w:rPr>
            </w:pPr>
            <w:r w:rsidRPr="000C3750">
              <w:rPr>
                <w:szCs w:val="16"/>
              </w:rPr>
              <w:t>11.2</w:t>
            </w:r>
            <w:r w:rsidRPr="000C3750">
              <w:rPr>
                <w:szCs w:val="16"/>
                <w:vertAlign w:val="superscript"/>
              </w:rPr>
              <w:t>c</w:t>
            </w:r>
          </w:p>
        </w:tc>
      </w:tr>
      <w:tr w:rsidR="00827AE3" w:rsidRPr="000C3750" w:rsidTr="00827AE3">
        <w:tc>
          <w:tcPr>
            <w:tcW w:w="1265" w:type="dxa"/>
            <w:vMerge/>
          </w:tcPr>
          <w:p w:rsidR="00827AE3" w:rsidRPr="000C3750" w:rsidRDefault="00827AE3" w:rsidP="00292FDF">
            <w:pPr>
              <w:rPr>
                <w:szCs w:val="24"/>
              </w:rPr>
            </w:pPr>
          </w:p>
        </w:tc>
        <w:tc>
          <w:tcPr>
            <w:tcW w:w="2700" w:type="dxa"/>
            <w:vAlign w:val="center"/>
          </w:tcPr>
          <w:p w:rsidR="00827AE3" w:rsidRPr="000C3750" w:rsidRDefault="00827AE3" w:rsidP="00292FDF">
            <w:pPr>
              <w:jc w:val="center"/>
              <w:rPr>
                <w:szCs w:val="24"/>
              </w:rPr>
            </w:pPr>
            <w:r w:rsidRPr="000C3750">
              <w:rPr>
                <w:szCs w:val="24"/>
              </w:rPr>
              <w:t>10</w:t>
            </w:r>
          </w:p>
        </w:tc>
        <w:tc>
          <w:tcPr>
            <w:tcW w:w="2515" w:type="dxa"/>
          </w:tcPr>
          <w:p w:rsidR="00827AE3" w:rsidRPr="000C3750" w:rsidRDefault="00827AE3" w:rsidP="00292FDF">
            <w:pPr>
              <w:jc w:val="center"/>
              <w:rPr>
                <w:szCs w:val="24"/>
              </w:rPr>
            </w:pPr>
            <w:r w:rsidRPr="000C3750">
              <w:rPr>
                <w:szCs w:val="16"/>
              </w:rPr>
              <w:t>11.2</w:t>
            </w:r>
            <w:r w:rsidRPr="000C3750">
              <w:rPr>
                <w:szCs w:val="16"/>
                <w:vertAlign w:val="superscript"/>
              </w:rPr>
              <w:t>c</w:t>
            </w:r>
          </w:p>
        </w:tc>
      </w:tr>
      <w:tr w:rsidR="00827AE3" w:rsidRPr="000C3750" w:rsidTr="00827AE3">
        <w:tc>
          <w:tcPr>
            <w:tcW w:w="1265" w:type="dxa"/>
            <w:vMerge/>
          </w:tcPr>
          <w:p w:rsidR="00827AE3" w:rsidRPr="000C3750" w:rsidRDefault="00827AE3" w:rsidP="00292FDF">
            <w:pPr>
              <w:rPr>
                <w:szCs w:val="24"/>
              </w:rPr>
            </w:pPr>
          </w:p>
        </w:tc>
        <w:tc>
          <w:tcPr>
            <w:tcW w:w="2700" w:type="dxa"/>
            <w:vAlign w:val="center"/>
          </w:tcPr>
          <w:p w:rsidR="00827AE3" w:rsidRPr="000C3750" w:rsidRDefault="00827AE3" w:rsidP="00292FDF">
            <w:pPr>
              <w:jc w:val="center"/>
              <w:rPr>
                <w:szCs w:val="24"/>
              </w:rPr>
            </w:pPr>
            <w:r w:rsidRPr="000C3750">
              <w:rPr>
                <w:szCs w:val="24"/>
              </w:rPr>
              <w:t>20</w:t>
            </w:r>
          </w:p>
        </w:tc>
        <w:tc>
          <w:tcPr>
            <w:tcW w:w="2515" w:type="dxa"/>
          </w:tcPr>
          <w:p w:rsidR="00827AE3" w:rsidRPr="000C3750" w:rsidRDefault="00827AE3" w:rsidP="00292FDF">
            <w:pPr>
              <w:jc w:val="center"/>
              <w:rPr>
                <w:szCs w:val="24"/>
              </w:rPr>
            </w:pPr>
            <w:r w:rsidRPr="000C3750">
              <w:rPr>
                <w:szCs w:val="16"/>
              </w:rPr>
              <w:t>11.0</w:t>
            </w:r>
            <w:r w:rsidRPr="000C3750">
              <w:rPr>
                <w:szCs w:val="16"/>
                <w:vertAlign w:val="superscript"/>
              </w:rPr>
              <w:t>c</w:t>
            </w:r>
          </w:p>
        </w:tc>
      </w:tr>
      <w:tr w:rsidR="00827AE3" w:rsidRPr="000C3750" w:rsidTr="00827AE3">
        <w:tc>
          <w:tcPr>
            <w:tcW w:w="1265" w:type="dxa"/>
            <w:vMerge/>
            <w:tcBorders>
              <w:bottom w:val="single" w:sz="12" w:space="0" w:color="auto"/>
            </w:tcBorders>
          </w:tcPr>
          <w:p w:rsidR="00827AE3" w:rsidRPr="000C3750" w:rsidRDefault="00827AE3" w:rsidP="00292FDF">
            <w:pPr>
              <w:rPr>
                <w:szCs w:val="24"/>
              </w:rPr>
            </w:pPr>
          </w:p>
        </w:tc>
        <w:tc>
          <w:tcPr>
            <w:tcW w:w="2700" w:type="dxa"/>
            <w:tcBorders>
              <w:bottom w:val="single" w:sz="12" w:space="0" w:color="auto"/>
            </w:tcBorders>
            <w:vAlign w:val="center"/>
          </w:tcPr>
          <w:p w:rsidR="00827AE3" w:rsidRPr="000C3750" w:rsidRDefault="00827AE3" w:rsidP="00292FDF">
            <w:pPr>
              <w:jc w:val="center"/>
              <w:rPr>
                <w:szCs w:val="24"/>
              </w:rPr>
            </w:pPr>
            <w:r w:rsidRPr="000C3750">
              <w:rPr>
                <w:szCs w:val="24"/>
              </w:rPr>
              <w:t>30</w:t>
            </w:r>
          </w:p>
        </w:tc>
        <w:tc>
          <w:tcPr>
            <w:tcW w:w="2515" w:type="dxa"/>
            <w:tcBorders>
              <w:bottom w:val="single" w:sz="12" w:space="0" w:color="auto"/>
            </w:tcBorders>
          </w:tcPr>
          <w:p w:rsidR="00827AE3" w:rsidRPr="000C3750" w:rsidRDefault="00827AE3" w:rsidP="00292FDF">
            <w:pPr>
              <w:jc w:val="center"/>
            </w:pPr>
            <w:r w:rsidRPr="000C3750">
              <w:rPr>
                <w:szCs w:val="16"/>
              </w:rPr>
              <w:t>11.0</w:t>
            </w:r>
            <w:r w:rsidRPr="000C3750">
              <w:rPr>
                <w:szCs w:val="16"/>
                <w:vertAlign w:val="superscript"/>
              </w:rPr>
              <w:t>c</w:t>
            </w:r>
          </w:p>
        </w:tc>
      </w:tr>
    </w:tbl>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827AE3" w:rsidRPr="000C3750" w:rsidRDefault="00827AE3" w:rsidP="00050DD9">
      <w:pPr>
        <w:rPr>
          <w:rFonts w:eastAsia="Times New Roman"/>
          <w:i/>
          <w:szCs w:val="20"/>
          <w:lang w:eastAsia="bg-BG"/>
        </w:rPr>
      </w:pPr>
    </w:p>
    <w:p w:rsidR="00050DD9" w:rsidRPr="000C3750" w:rsidRDefault="003314D2" w:rsidP="00050DD9">
      <w:pPr>
        <w:rPr>
          <w:rFonts w:eastAsia="Times New Roman"/>
          <w:sz w:val="16"/>
          <w:szCs w:val="20"/>
          <w:lang w:eastAsia="bg-BG"/>
        </w:rPr>
      </w:pPr>
      <w:r w:rsidRPr="000C3750">
        <w:rPr>
          <w:rFonts w:eastAsia="Times New Roman"/>
          <w:i/>
          <w:szCs w:val="20"/>
          <w:lang w:val="bg-BG" w:eastAsia="bg-BG"/>
        </w:rPr>
        <w:t>Means</w:t>
      </w:r>
      <w:r w:rsidRPr="000C3750">
        <w:rPr>
          <w:rFonts w:eastAsia="Times New Roman"/>
          <w:i/>
          <w:spacing w:val="8"/>
          <w:szCs w:val="20"/>
          <w:lang w:val="bg-BG" w:eastAsia="bg-BG"/>
        </w:rPr>
        <w:t xml:space="preserve"> </w:t>
      </w:r>
      <w:r w:rsidRPr="000C3750">
        <w:rPr>
          <w:rFonts w:eastAsia="Times New Roman"/>
          <w:i/>
          <w:szCs w:val="20"/>
          <w:lang w:val="bg-BG" w:eastAsia="bg-BG"/>
        </w:rPr>
        <w:t>followed</w:t>
      </w:r>
      <w:r w:rsidRPr="000C3750">
        <w:rPr>
          <w:rFonts w:eastAsia="Times New Roman"/>
          <w:i/>
          <w:spacing w:val="7"/>
          <w:szCs w:val="20"/>
          <w:lang w:val="bg-BG" w:eastAsia="bg-BG"/>
        </w:rPr>
        <w:t xml:space="preserve"> </w:t>
      </w:r>
      <w:r w:rsidRPr="000C3750">
        <w:rPr>
          <w:rFonts w:eastAsia="Times New Roman"/>
          <w:i/>
          <w:spacing w:val="3"/>
          <w:szCs w:val="20"/>
          <w:lang w:val="bg-BG" w:eastAsia="bg-BG"/>
        </w:rPr>
        <w:t>b</w:t>
      </w:r>
      <w:r w:rsidRPr="000C3750">
        <w:rPr>
          <w:rFonts w:eastAsia="Times New Roman"/>
          <w:i/>
          <w:szCs w:val="20"/>
          <w:lang w:val="bg-BG" w:eastAsia="bg-BG"/>
        </w:rPr>
        <w:t>y</w:t>
      </w:r>
      <w:r w:rsidRPr="000C3750">
        <w:rPr>
          <w:rFonts w:eastAsia="Times New Roman"/>
          <w:i/>
          <w:spacing w:val="8"/>
          <w:szCs w:val="20"/>
          <w:lang w:val="bg-BG" w:eastAsia="bg-BG"/>
        </w:rPr>
        <w:t xml:space="preserve"> </w:t>
      </w:r>
      <w:r w:rsidRPr="000C3750">
        <w:rPr>
          <w:rFonts w:eastAsia="Times New Roman"/>
          <w:i/>
          <w:szCs w:val="20"/>
          <w:lang w:val="bg-BG" w:eastAsia="bg-BG"/>
        </w:rPr>
        <w:t>the</w:t>
      </w:r>
      <w:r w:rsidRPr="000C3750">
        <w:rPr>
          <w:rFonts w:eastAsia="Times New Roman"/>
          <w:i/>
          <w:spacing w:val="7"/>
          <w:szCs w:val="20"/>
          <w:lang w:val="bg-BG" w:eastAsia="bg-BG"/>
        </w:rPr>
        <w:t xml:space="preserve"> </w:t>
      </w:r>
      <w:r w:rsidRPr="000C3750">
        <w:rPr>
          <w:rFonts w:eastAsia="Times New Roman"/>
          <w:i/>
          <w:szCs w:val="20"/>
          <w:lang w:val="bg-BG" w:eastAsia="bg-BG"/>
        </w:rPr>
        <w:t>same</w:t>
      </w:r>
      <w:r w:rsidRPr="000C3750">
        <w:rPr>
          <w:rFonts w:eastAsia="Times New Roman"/>
          <w:i/>
          <w:spacing w:val="7"/>
          <w:szCs w:val="20"/>
          <w:lang w:val="bg-BG" w:eastAsia="bg-BG"/>
        </w:rPr>
        <w:t xml:space="preserve"> </w:t>
      </w:r>
      <w:r w:rsidRPr="000C3750">
        <w:rPr>
          <w:rFonts w:eastAsia="Times New Roman"/>
          <w:i/>
          <w:szCs w:val="20"/>
          <w:lang w:val="bg-BG" w:eastAsia="bg-BG"/>
        </w:rPr>
        <w:t>letter</w:t>
      </w:r>
      <w:r w:rsidRPr="000C3750">
        <w:rPr>
          <w:rFonts w:eastAsia="Times New Roman"/>
          <w:i/>
          <w:spacing w:val="7"/>
          <w:szCs w:val="20"/>
          <w:lang w:val="bg-BG" w:eastAsia="bg-BG"/>
        </w:rPr>
        <w:t xml:space="preserve"> </w:t>
      </w:r>
      <w:r w:rsidRPr="000C3750">
        <w:rPr>
          <w:rFonts w:eastAsia="Times New Roman"/>
          <w:i/>
          <w:szCs w:val="20"/>
          <w:lang w:val="bg-BG" w:eastAsia="bg-BG"/>
        </w:rPr>
        <w:t>within</w:t>
      </w:r>
      <w:r w:rsidRPr="000C3750">
        <w:rPr>
          <w:rFonts w:eastAsia="Times New Roman"/>
          <w:i/>
          <w:spacing w:val="7"/>
          <w:szCs w:val="20"/>
          <w:lang w:val="bg-BG" w:eastAsia="bg-BG"/>
        </w:rPr>
        <w:t xml:space="preserve"> </w:t>
      </w:r>
      <w:r w:rsidRPr="000C3750">
        <w:rPr>
          <w:rFonts w:eastAsia="Times New Roman"/>
          <w:i/>
          <w:szCs w:val="20"/>
          <w:lang w:val="bg-BG" w:eastAsia="bg-BG"/>
        </w:rPr>
        <w:t>a</w:t>
      </w:r>
      <w:r w:rsidRPr="000C3750">
        <w:rPr>
          <w:rFonts w:eastAsia="Times New Roman"/>
          <w:i/>
          <w:spacing w:val="7"/>
          <w:szCs w:val="20"/>
          <w:lang w:val="bg-BG" w:eastAsia="bg-BG"/>
        </w:rPr>
        <w:t xml:space="preserve"> </w:t>
      </w:r>
      <w:r w:rsidRPr="000C3750">
        <w:rPr>
          <w:rFonts w:eastAsia="Times New Roman"/>
          <w:i/>
          <w:szCs w:val="20"/>
          <w:lang w:val="bg-BG" w:eastAsia="bg-BG"/>
        </w:rPr>
        <w:t>column</w:t>
      </w:r>
      <w:r w:rsidRPr="000C3750">
        <w:rPr>
          <w:rFonts w:eastAsia="Times New Roman"/>
          <w:i/>
          <w:spacing w:val="8"/>
          <w:szCs w:val="20"/>
          <w:lang w:val="bg-BG" w:eastAsia="bg-BG"/>
        </w:rPr>
        <w:t xml:space="preserve"> </w:t>
      </w:r>
      <w:r w:rsidRPr="000C3750">
        <w:rPr>
          <w:rFonts w:eastAsia="Times New Roman"/>
          <w:i/>
          <w:szCs w:val="20"/>
          <w:lang w:val="bg-BG" w:eastAsia="bg-BG"/>
        </w:rPr>
        <w:t>are</w:t>
      </w:r>
      <w:r w:rsidRPr="000C3750">
        <w:rPr>
          <w:rFonts w:eastAsia="Times New Roman"/>
          <w:i/>
          <w:spacing w:val="8"/>
          <w:szCs w:val="20"/>
          <w:lang w:val="bg-BG" w:eastAsia="bg-BG"/>
        </w:rPr>
        <w:t xml:space="preserve"> </w:t>
      </w:r>
      <w:r w:rsidRPr="000C3750">
        <w:rPr>
          <w:rFonts w:eastAsia="Times New Roman"/>
          <w:i/>
          <w:szCs w:val="20"/>
          <w:lang w:val="bg-BG" w:eastAsia="bg-BG"/>
        </w:rPr>
        <w:t>not</w:t>
      </w:r>
      <w:r w:rsidRPr="000C3750">
        <w:rPr>
          <w:rFonts w:eastAsia="Times New Roman"/>
          <w:i/>
          <w:spacing w:val="9"/>
          <w:szCs w:val="20"/>
          <w:lang w:val="bg-BG" w:eastAsia="bg-BG"/>
        </w:rPr>
        <w:t xml:space="preserve"> </w:t>
      </w:r>
      <w:r w:rsidRPr="000C3750">
        <w:rPr>
          <w:rFonts w:eastAsia="Times New Roman"/>
          <w:i/>
          <w:szCs w:val="20"/>
          <w:lang w:val="bg-BG" w:eastAsia="bg-BG"/>
        </w:rPr>
        <w:t>significant</w:t>
      </w:r>
      <w:r w:rsidRPr="000C3750">
        <w:rPr>
          <w:rFonts w:eastAsia="Times New Roman"/>
          <w:i/>
          <w:spacing w:val="5"/>
          <w:szCs w:val="20"/>
          <w:lang w:val="bg-BG" w:eastAsia="bg-BG"/>
        </w:rPr>
        <w:t>l</w:t>
      </w:r>
      <w:r w:rsidRPr="000C3750">
        <w:rPr>
          <w:rFonts w:eastAsia="Times New Roman"/>
          <w:i/>
          <w:szCs w:val="20"/>
          <w:lang w:val="bg-BG" w:eastAsia="bg-BG"/>
        </w:rPr>
        <w:t>y</w:t>
      </w:r>
      <w:r w:rsidRPr="000C3750">
        <w:rPr>
          <w:rFonts w:eastAsia="Times New Roman"/>
          <w:i/>
          <w:spacing w:val="11"/>
          <w:szCs w:val="20"/>
          <w:lang w:val="bg-BG" w:eastAsia="bg-BG"/>
        </w:rPr>
        <w:t xml:space="preserve"> </w:t>
      </w:r>
      <w:r w:rsidRPr="000C3750">
        <w:rPr>
          <w:rFonts w:eastAsia="Times New Roman"/>
          <w:i/>
          <w:szCs w:val="20"/>
          <w:lang w:val="bg-BG" w:eastAsia="bg-BG"/>
        </w:rPr>
        <w:t>different</w:t>
      </w:r>
      <w:r w:rsidRPr="000C3750">
        <w:rPr>
          <w:rFonts w:eastAsia="Times New Roman"/>
          <w:i/>
          <w:spacing w:val="8"/>
          <w:szCs w:val="20"/>
          <w:lang w:val="bg-BG" w:eastAsia="bg-BG"/>
        </w:rPr>
        <w:t xml:space="preserve"> </w:t>
      </w:r>
      <w:r w:rsidRPr="000C3750">
        <w:rPr>
          <w:rFonts w:eastAsia="Times New Roman"/>
          <w:i/>
          <w:szCs w:val="20"/>
          <w:lang w:val="bg-BG" w:eastAsia="bg-BG"/>
        </w:rPr>
        <w:t>at the</w:t>
      </w:r>
      <w:r w:rsidRPr="000C3750">
        <w:rPr>
          <w:rFonts w:eastAsia="Times New Roman"/>
          <w:i/>
          <w:spacing w:val="9"/>
          <w:szCs w:val="20"/>
          <w:lang w:val="bg-BG" w:eastAsia="bg-BG"/>
        </w:rPr>
        <w:t xml:space="preserve"> </w:t>
      </w:r>
      <w:r w:rsidRPr="000C3750">
        <w:rPr>
          <w:rFonts w:eastAsia="Times New Roman"/>
          <w:i/>
          <w:szCs w:val="20"/>
          <w:lang w:val="bg-BG" w:eastAsia="bg-BG"/>
        </w:rPr>
        <w:t>5%</w:t>
      </w:r>
      <w:r w:rsidRPr="000C3750">
        <w:rPr>
          <w:rFonts w:eastAsia="Times New Roman"/>
          <w:i/>
          <w:spacing w:val="7"/>
          <w:szCs w:val="20"/>
          <w:lang w:val="bg-BG" w:eastAsia="bg-BG"/>
        </w:rPr>
        <w:t xml:space="preserve"> </w:t>
      </w:r>
      <w:r w:rsidRPr="000C3750">
        <w:rPr>
          <w:rFonts w:eastAsia="Times New Roman"/>
          <w:i/>
          <w:szCs w:val="20"/>
          <w:lang w:val="bg-BG" w:eastAsia="bg-BG"/>
        </w:rPr>
        <w:t>le</w:t>
      </w:r>
      <w:r w:rsidRPr="000C3750">
        <w:rPr>
          <w:rFonts w:eastAsia="Times New Roman"/>
          <w:i/>
          <w:spacing w:val="1"/>
          <w:szCs w:val="20"/>
          <w:lang w:val="bg-BG" w:eastAsia="bg-BG"/>
        </w:rPr>
        <w:t>v</w:t>
      </w:r>
      <w:r w:rsidRPr="000C3750">
        <w:rPr>
          <w:rFonts w:eastAsia="Times New Roman"/>
          <w:i/>
          <w:szCs w:val="20"/>
          <w:lang w:val="bg-BG" w:eastAsia="bg-BG"/>
        </w:rPr>
        <w:t>el</w:t>
      </w:r>
      <w:r w:rsidRPr="000C3750">
        <w:rPr>
          <w:rFonts w:eastAsia="Times New Roman"/>
          <w:i/>
          <w:szCs w:val="20"/>
          <w:lang w:eastAsia="bg-BG"/>
        </w:rPr>
        <w:t xml:space="preserve"> </w:t>
      </w:r>
      <w:r w:rsidRPr="000C3750">
        <w:rPr>
          <w:rFonts w:eastAsia="Times New Roman"/>
          <w:i/>
          <w:szCs w:val="20"/>
          <w:lang w:val="bg-BG" w:eastAsia="bg-BG"/>
        </w:rPr>
        <w:t>of</w:t>
      </w:r>
      <w:r w:rsidRPr="000C3750">
        <w:rPr>
          <w:rFonts w:eastAsia="Times New Roman"/>
          <w:i/>
          <w:spacing w:val="33"/>
          <w:szCs w:val="20"/>
          <w:lang w:val="bg-BG" w:eastAsia="bg-BG"/>
        </w:rPr>
        <w:t xml:space="preserve"> </w:t>
      </w:r>
      <w:r w:rsidRPr="000C3750">
        <w:rPr>
          <w:rFonts w:eastAsia="Times New Roman"/>
          <w:i/>
          <w:szCs w:val="20"/>
          <w:lang w:val="bg-BG" w:eastAsia="bg-BG"/>
        </w:rPr>
        <w:t>significance, and</w:t>
      </w:r>
      <w:r w:rsidRPr="000C3750">
        <w:rPr>
          <w:rFonts w:eastAsia="Times New Roman"/>
          <w:i/>
          <w:spacing w:val="33"/>
          <w:szCs w:val="20"/>
          <w:lang w:eastAsia="bg-BG"/>
        </w:rPr>
        <w:t xml:space="preserve"> </w:t>
      </w:r>
      <w:r w:rsidRPr="000C3750">
        <w:rPr>
          <w:rFonts w:eastAsia="Times New Roman"/>
          <w:i/>
          <w:szCs w:val="20"/>
          <w:lang w:val="bg-BG" w:eastAsia="bg-BG"/>
        </w:rPr>
        <w:t>NS</w:t>
      </w:r>
      <w:r w:rsidRPr="000C3750">
        <w:rPr>
          <w:rFonts w:eastAsia="Times New Roman"/>
          <w:i/>
          <w:spacing w:val="33"/>
          <w:szCs w:val="20"/>
          <w:lang w:val="bg-BG" w:eastAsia="bg-BG"/>
        </w:rPr>
        <w:t xml:space="preserve"> </w:t>
      </w:r>
      <w:r w:rsidRPr="000C3750">
        <w:rPr>
          <w:rFonts w:eastAsia="Times New Roman"/>
          <w:i/>
          <w:szCs w:val="20"/>
          <w:lang w:val="bg-BG" w:eastAsia="bg-BG"/>
        </w:rPr>
        <w:t>s</w:t>
      </w:r>
      <w:r w:rsidRPr="000C3750">
        <w:rPr>
          <w:rFonts w:eastAsia="Times New Roman"/>
          <w:i/>
          <w:spacing w:val="1"/>
          <w:szCs w:val="20"/>
          <w:lang w:val="bg-BG" w:eastAsia="bg-BG"/>
        </w:rPr>
        <w:t>h</w:t>
      </w:r>
      <w:r w:rsidRPr="000C3750">
        <w:rPr>
          <w:rFonts w:eastAsia="Times New Roman"/>
          <w:i/>
          <w:szCs w:val="20"/>
          <w:lang w:val="bg-BG" w:eastAsia="bg-BG"/>
        </w:rPr>
        <w:t>owed</w:t>
      </w:r>
      <w:r w:rsidRPr="000C3750">
        <w:rPr>
          <w:rFonts w:eastAsia="Times New Roman"/>
          <w:i/>
          <w:spacing w:val="33"/>
          <w:szCs w:val="20"/>
          <w:lang w:val="bg-BG" w:eastAsia="bg-BG"/>
        </w:rPr>
        <w:t xml:space="preserve"> </w:t>
      </w:r>
      <w:r w:rsidRPr="000C3750">
        <w:rPr>
          <w:rFonts w:eastAsia="Times New Roman"/>
          <w:i/>
          <w:szCs w:val="20"/>
          <w:lang w:val="bg-BG" w:eastAsia="bg-BG"/>
        </w:rPr>
        <w:t>sign</w:t>
      </w:r>
      <w:r w:rsidRPr="000C3750">
        <w:rPr>
          <w:rFonts w:eastAsia="Times New Roman"/>
          <w:i/>
          <w:spacing w:val="2"/>
          <w:szCs w:val="20"/>
          <w:lang w:val="bg-BG" w:eastAsia="bg-BG"/>
        </w:rPr>
        <w:t>i</w:t>
      </w:r>
      <w:r w:rsidRPr="000C3750">
        <w:rPr>
          <w:rFonts w:eastAsia="Times New Roman"/>
          <w:i/>
          <w:szCs w:val="20"/>
          <w:lang w:val="bg-BG" w:eastAsia="bg-BG"/>
        </w:rPr>
        <w:t>ficant</w:t>
      </w:r>
      <w:r w:rsidRPr="000C3750">
        <w:rPr>
          <w:rFonts w:eastAsia="Times New Roman"/>
          <w:i/>
          <w:spacing w:val="33"/>
          <w:szCs w:val="20"/>
          <w:lang w:val="bg-BG" w:eastAsia="bg-BG"/>
        </w:rPr>
        <w:t xml:space="preserve"> </w:t>
      </w:r>
      <w:r w:rsidRPr="000C3750">
        <w:rPr>
          <w:rFonts w:eastAsia="Times New Roman"/>
          <w:i/>
          <w:szCs w:val="20"/>
          <w:lang w:val="bg-BG" w:eastAsia="bg-BG"/>
        </w:rPr>
        <w:t>differences</w:t>
      </w:r>
      <w:r w:rsidRPr="000C3750">
        <w:rPr>
          <w:rFonts w:eastAsia="Times New Roman"/>
          <w:sz w:val="16"/>
          <w:szCs w:val="20"/>
          <w:lang w:eastAsia="bg-BG"/>
        </w:rPr>
        <w:t>.</w:t>
      </w:r>
    </w:p>
    <w:p w:rsidR="00CB360A" w:rsidRPr="000C3750" w:rsidRDefault="00CB360A" w:rsidP="00CB360A">
      <w:pPr>
        <w:pStyle w:val="NoSpacing"/>
        <w:rPr>
          <w:b/>
        </w:rPr>
      </w:pPr>
      <w:bookmarkStart w:id="10" w:name="_Toc265074697"/>
      <w:r w:rsidRPr="000C3750">
        <w:rPr>
          <w:b/>
        </w:rPr>
        <w:t>Table 8. Standard Quality Parameters of Malt Barley</w:t>
      </w:r>
      <w:bookmarkEnd w:id="10"/>
    </w:p>
    <w:tbl>
      <w:tblPr>
        <w:tblW w:w="0" w:type="auto"/>
        <w:tblBorders>
          <w:top w:val="single" w:sz="12" w:space="0" w:color="000000"/>
          <w:bottom w:val="single" w:sz="12" w:space="0" w:color="000000"/>
        </w:tblBorders>
        <w:tblLook w:val="0000" w:firstRow="0" w:lastRow="0" w:firstColumn="0" w:lastColumn="0" w:noHBand="0" w:noVBand="0"/>
      </w:tblPr>
      <w:tblGrid>
        <w:gridCol w:w="828"/>
        <w:gridCol w:w="2292"/>
        <w:gridCol w:w="2073"/>
        <w:gridCol w:w="1930"/>
      </w:tblGrid>
      <w:tr w:rsidR="00CB360A" w:rsidRPr="000C3750" w:rsidTr="00827AE3">
        <w:tc>
          <w:tcPr>
            <w:tcW w:w="828" w:type="dxa"/>
            <w:tcBorders>
              <w:bottom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bookmarkStart w:id="11" w:name="OLE_LINK9"/>
            <w:bookmarkStart w:id="12" w:name="OLE_LINK10"/>
            <w:r w:rsidRPr="000C3750">
              <w:rPr>
                <w:rFonts w:ascii="Times New Roman" w:hAnsi="Times New Roman" w:cs="Times New Roman"/>
                <w:color w:val="auto"/>
              </w:rPr>
              <w:t>S No.</w:t>
            </w:r>
          </w:p>
        </w:tc>
        <w:tc>
          <w:tcPr>
            <w:tcW w:w="2292" w:type="dxa"/>
            <w:tcBorders>
              <w:bottom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Parameters </w:t>
            </w:r>
          </w:p>
        </w:tc>
        <w:tc>
          <w:tcPr>
            <w:tcW w:w="2073" w:type="dxa"/>
            <w:tcBorders>
              <w:bottom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EBC Standard </w:t>
            </w:r>
          </w:p>
        </w:tc>
        <w:tc>
          <w:tcPr>
            <w:tcW w:w="1930" w:type="dxa"/>
            <w:tcBorders>
              <w:bottom w:val="single" w:sz="4" w:space="0" w:color="auto"/>
            </w:tcBorders>
            <w:shd w:val="clear" w:color="auto" w:fill="auto"/>
          </w:tcPr>
          <w:p w:rsidR="00CB360A" w:rsidRPr="000C3750" w:rsidRDefault="00CB360A" w:rsidP="00CB360A">
            <w:pPr>
              <w:pStyle w:val="Default"/>
              <w:jc w:val="center"/>
              <w:rPr>
                <w:rFonts w:ascii="Times New Roman" w:hAnsi="Times New Roman" w:cs="Times New Roman"/>
                <w:color w:val="auto"/>
              </w:rPr>
            </w:pPr>
            <w:proofErr w:type="spellStart"/>
            <w:r w:rsidRPr="000C3750">
              <w:rPr>
                <w:rFonts w:ascii="Times New Roman" w:hAnsi="Times New Roman" w:cs="Times New Roman"/>
                <w:color w:val="auto"/>
              </w:rPr>
              <w:t>Asela</w:t>
            </w:r>
            <w:proofErr w:type="spellEnd"/>
            <w:r w:rsidRPr="000C3750">
              <w:rPr>
                <w:rFonts w:ascii="Times New Roman" w:hAnsi="Times New Roman" w:cs="Times New Roman"/>
                <w:color w:val="auto"/>
              </w:rPr>
              <w:t xml:space="preserve"> Malt Factory standard</w:t>
            </w:r>
          </w:p>
        </w:tc>
      </w:tr>
      <w:tr w:rsidR="00CB360A" w:rsidRPr="000C3750" w:rsidTr="00827AE3">
        <w:tc>
          <w:tcPr>
            <w:tcW w:w="828" w:type="dxa"/>
            <w:tcBorders>
              <w:top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1</w:t>
            </w:r>
          </w:p>
        </w:tc>
        <w:tc>
          <w:tcPr>
            <w:tcW w:w="2292" w:type="dxa"/>
            <w:tcBorders>
              <w:top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Sieve test (%)</w:t>
            </w:r>
          </w:p>
        </w:tc>
        <w:tc>
          <w:tcPr>
            <w:tcW w:w="2073" w:type="dxa"/>
            <w:tcBorders>
              <w:top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p>
        </w:tc>
        <w:tc>
          <w:tcPr>
            <w:tcW w:w="1930" w:type="dxa"/>
            <w:tcBorders>
              <w:top w:val="single" w:sz="4" w:space="0" w:color="auto"/>
            </w:tcBorders>
            <w:shd w:val="clear" w:color="auto" w:fill="auto"/>
          </w:tcPr>
          <w:p w:rsidR="00CB360A" w:rsidRPr="000C3750" w:rsidRDefault="00CB360A" w:rsidP="00CB360A">
            <w:pPr>
              <w:pStyle w:val="Default"/>
              <w:jc w:val="both"/>
              <w:rPr>
                <w:rFonts w:ascii="Times New Roman" w:hAnsi="Times New Roman" w:cs="Times New Roman"/>
                <w:color w:val="auto"/>
              </w:rPr>
            </w:pPr>
          </w:p>
        </w:tc>
      </w:tr>
      <w:tr w:rsidR="00CB360A" w:rsidRPr="000C3750" w:rsidTr="00827AE3">
        <w:tc>
          <w:tcPr>
            <w:tcW w:w="828" w:type="dxa"/>
            <w:shd w:val="clear" w:color="auto" w:fill="auto"/>
          </w:tcPr>
          <w:p w:rsidR="00CB360A" w:rsidRPr="000C3750" w:rsidRDefault="00CB360A" w:rsidP="00CB360A">
            <w:pPr>
              <w:pStyle w:val="Default"/>
              <w:jc w:val="right"/>
              <w:rPr>
                <w:rFonts w:ascii="Times New Roman" w:hAnsi="Times New Roman" w:cs="Times New Roman"/>
                <w:color w:val="auto"/>
              </w:rPr>
            </w:pPr>
            <w:r w:rsidRPr="000C3750">
              <w:rPr>
                <w:rFonts w:ascii="Times New Roman" w:hAnsi="Times New Roman" w:cs="Times New Roman"/>
                <w:color w:val="auto"/>
              </w:rPr>
              <w:t>1.1</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&gt;2.8 mm</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34-45</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34-45</w:t>
            </w:r>
          </w:p>
        </w:tc>
      </w:tr>
      <w:tr w:rsidR="00CB360A" w:rsidRPr="000C3750" w:rsidTr="00827AE3">
        <w:tc>
          <w:tcPr>
            <w:tcW w:w="828" w:type="dxa"/>
            <w:shd w:val="clear" w:color="auto" w:fill="auto"/>
          </w:tcPr>
          <w:p w:rsidR="00CB360A" w:rsidRPr="000C3750" w:rsidRDefault="00CB360A" w:rsidP="00CB360A">
            <w:pPr>
              <w:pStyle w:val="Default"/>
              <w:jc w:val="right"/>
              <w:rPr>
                <w:rFonts w:ascii="Times New Roman" w:hAnsi="Times New Roman" w:cs="Times New Roman"/>
                <w:color w:val="auto"/>
              </w:rPr>
            </w:pPr>
            <w:r w:rsidRPr="000C3750">
              <w:rPr>
                <w:rFonts w:ascii="Times New Roman" w:hAnsi="Times New Roman" w:cs="Times New Roman"/>
                <w:color w:val="auto"/>
              </w:rPr>
              <w:t>1.2</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2.5mm – 2.8 mm</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40-50</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40-50</w:t>
            </w:r>
          </w:p>
        </w:tc>
      </w:tr>
      <w:tr w:rsidR="00CB360A" w:rsidRPr="000C3750" w:rsidTr="00827AE3">
        <w:tc>
          <w:tcPr>
            <w:tcW w:w="828" w:type="dxa"/>
            <w:shd w:val="clear" w:color="auto" w:fill="auto"/>
          </w:tcPr>
          <w:p w:rsidR="00CB360A" w:rsidRPr="000C3750" w:rsidRDefault="00CB360A" w:rsidP="00CB360A">
            <w:pPr>
              <w:pStyle w:val="Default"/>
              <w:jc w:val="right"/>
              <w:rPr>
                <w:rFonts w:ascii="Times New Roman" w:hAnsi="Times New Roman" w:cs="Times New Roman"/>
                <w:color w:val="auto"/>
              </w:rPr>
            </w:pPr>
            <w:r w:rsidRPr="000C3750">
              <w:rPr>
                <w:rFonts w:ascii="Times New Roman" w:hAnsi="Times New Roman" w:cs="Times New Roman"/>
                <w:color w:val="auto"/>
              </w:rPr>
              <w:t>1.3</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2.2mm -2.5mm</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&gt;5 </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&gt;5 </w:t>
            </w:r>
          </w:p>
        </w:tc>
      </w:tr>
      <w:tr w:rsidR="00CB360A" w:rsidRPr="000C3750" w:rsidTr="00827AE3">
        <w:tc>
          <w:tcPr>
            <w:tcW w:w="828" w:type="dxa"/>
            <w:shd w:val="clear" w:color="auto" w:fill="auto"/>
          </w:tcPr>
          <w:p w:rsidR="00CB360A" w:rsidRPr="000C3750" w:rsidRDefault="00CB360A" w:rsidP="00CB360A">
            <w:pPr>
              <w:pStyle w:val="Default"/>
              <w:jc w:val="right"/>
              <w:rPr>
                <w:rFonts w:ascii="Times New Roman" w:hAnsi="Times New Roman" w:cs="Times New Roman"/>
                <w:color w:val="auto"/>
              </w:rPr>
            </w:pPr>
            <w:r w:rsidRPr="000C3750">
              <w:rPr>
                <w:rFonts w:ascii="Times New Roman" w:hAnsi="Times New Roman" w:cs="Times New Roman"/>
                <w:color w:val="auto"/>
              </w:rPr>
              <w:t>1.4</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&lt;2.2mm</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&lt;4 </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7-13</w:t>
            </w:r>
          </w:p>
        </w:tc>
      </w:tr>
      <w:tr w:rsidR="00CB360A" w:rsidRPr="000C3750" w:rsidTr="00827AE3">
        <w:tc>
          <w:tcPr>
            <w:tcW w:w="828" w:type="dxa"/>
            <w:shd w:val="clear" w:color="auto" w:fill="auto"/>
          </w:tcPr>
          <w:p w:rsidR="00CB360A" w:rsidRPr="000C3750" w:rsidRDefault="00CB360A" w:rsidP="00CB360A">
            <w:pPr>
              <w:pStyle w:val="Default"/>
              <w:jc w:val="right"/>
              <w:rPr>
                <w:rFonts w:ascii="Times New Roman" w:hAnsi="Times New Roman" w:cs="Times New Roman"/>
                <w:color w:val="auto"/>
              </w:rPr>
            </w:pPr>
            <w:r w:rsidRPr="000C3750">
              <w:rPr>
                <w:rFonts w:ascii="Times New Roman" w:hAnsi="Times New Roman" w:cs="Times New Roman"/>
                <w:color w:val="auto"/>
              </w:rPr>
              <w:t>1.5</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TSR</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&lt;4 </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7-16</w:t>
            </w:r>
          </w:p>
        </w:tc>
      </w:tr>
      <w:tr w:rsidR="00CB360A" w:rsidRPr="000C3750" w:rsidTr="00827AE3">
        <w:tc>
          <w:tcPr>
            <w:tcW w:w="828"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2</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GC (%)</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 xml:space="preserve">96 </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96</w:t>
            </w:r>
          </w:p>
        </w:tc>
      </w:tr>
      <w:tr w:rsidR="00CB360A" w:rsidRPr="000C3750" w:rsidTr="00827AE3">
        <w:tc>
          <w:tcPr>
            <w:tcW w:w="828"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3</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GE (%)</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96</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96</w:t>
            </w:r>
          </w:p>
        </w:tc>
      </w:tr>
      <w:tr w:rsidR="00CB360A" w:rsidRPr="000C3750" w:rsidTr="00827AE3">
        <w:tc>
          <w:tcPr>
            <w:tcW w:w="828"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4</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MC (%)</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10.5-13.5</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10.5-13.5</w:t>
            </w:r>
          </w:p>
        </w:tc>
      </w:tr>
      <w:tr w:rsidR="00CB360A" w:rsidRPr="000C3750" w:rsidTr="00827AE3">
        <w:tc>
          <w:tcPr>
            <w:tcW w:w="828"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5</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PC (%)</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9.0-12.5</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9.0-12.5</w:t>
            </w:r>
          </w:p>
        </w:tc>
      </w:tr>
      <w:tr w:rsidR="00CB360A" w:rsidRPr="000C3750" w:rsidTr="00827AE3">
        <w:tc>
          <w:tcPr>
            <w:tcW w:w="828"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6</w:t>
            </w:r>
          </w:p>
        </w:tc>
        <w:tc>
          <w:tcPr>
            <w:tcW w:w="2292"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TKW (</w:t>
            </w:r>
            <w:proofErr w:type="spellStart"/>
            <w:r w:rsidRPr="000C3750">
              <w:rPr>
                <w:rFonts w:ascii="Times New Roman" w:hAnsi="Times New Roman" w:cs="Times New Roman"/>
                <w:color w:val="auto"/>
              </w:rPr>
              <w:t>gm</w:t>
            </w:r>
            <w:proofErr w:type="spellEnd"/>
            <w:r w:rsidRPr="000C3750">
              <w:rPr>
                <w:rFonts w:ascii="Times New Roman" w:hAnsi="Times New Roman" w:cs="Times New Roman"/>
                <w:color w:val="auto"/>
              </w:rPr>
              <w:t>)</w:t>
            </w:r>
          </w:p>
        </w:tc>
        <w:tc>
          <w:tcPr>
            <w:tcW w:w="2073"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35-45</w:t>
            </w:r>
          </w:p>
        </w:tc>
        <w:tc>
          <w:tcPr>
            <w:tcW w:w="1930" w:type="dxa"/>
            <w:shd w:val="clear" w:color="auto" w:fill="auto"/>
          </w:tcPr>
          <w:p w:rsidR="00CB360A" w:rsidRPr="000C3750" w:rsidRDefault="00CB360A" w:rsidP="00CB360A">
            <w:pPr>
              <w:pStyle w:val="Default"/>
              <w:jc w:val="both"/>
              <w:rPr>
                <w:rFonts w:ascii="Times New Roman" w:hAnsi="Times New Roman" w:cs="Times New Roman"/>
                <w:color w:val="auto"/>
              </w:rPr>
            </w:pPr>
            <w:r w:rsidRPr="000C3750">
              <w:rPr>
                <w:rFonts w:ascii="Times New Roman" w:hAnsi="Times New Roman" w:cs="Times New Roman"/>
                <w:color w:val="auto"/>
              </w:rPr>
              <w:t>28-32</w:t>
            </w:r>
          </w:p>
        </w:tc>
      </w:tr>
    </w:tbl>
    <w:bookmarkEnd w:id="11"/>
    <w:bookmarkEnd w:id="12"/>
    <w:p w:rsidR="00CB360A" w:rsidRPr="000C3750" w:rsidRDefault="00CB360A" w:rsidP="00CB360A">
      <w:pPr>
        <w:pStyle w:val="BodyText"/>
        <w:rPr>
          <w:i/>
        </w:rPr>
      </w:pPr>
      <w:r w:rsidRPr="000C3750">
        <w:rPr>
          <w:i/>
        </w:rPr>
        <w:t xml:space="preserve">TSR=Total sieve rejected; GC = germination capacity; GE = germination energy; MC=moisture content; PC=protein content; TKW=thousand kernel weight </w:t>
      </w:r>
    </w:p>
    <w:p w:rsidR="00002A88" w:rsidRPr="000C3750" w:rsidRDefault="00002A88" w:rsidP="00CA176A">
      <w:pPr>
        <w:pStyle w:val="ListParagraph"/>
        <w:numPr>
          <w:ilvl w:val="1"/>
          <w:numId w:val="11"/>
        </w:numPr>
        <w:tabs>
          <w:tab w:val="left" w:pos="540"/>
          <w:tab w:val="left" w:pos="1440"/>
        </w:tabs>
        <w:spacing w:after="0" w:line="360" w:lineRule="auto"/>
        <w:jc w:val="both"/>
        <w:rPr>
          <w:rFonts w:ascii="Times New Roman" w:hAnsi="Times New Roman"/>
          <w:b/>
          <w:sz w:val="24"/>
          <w:szCs w:val="24"/>
        </w:rPr>
      </w:pPr>
      <w:r>
        <w:rPr>
          <w:rFonts w:ascii="Times New Roman" w:hAnsi="Times New Roman"/>
          <w:b/>
          <w:sz w:val="24"/>
          <w:szCs w:val="24"/>
        </w:rPr>
        <w:t>Partial Budget Analysis of Treatment Effects Results</w:t>
      </w:r>
    </w:p>
    <w:p w:rsidR="00AB5E34" w:rsidRPr="000C3750" w:rsidRDefault="00002A88" w:rsidP="00CA176A">
      <w:pPr>
        <w:pStyle w:val="ListParagraph"/>
        <w:tabs>
          <w:tab w:val="left" w:pos="540"/>
          <w:tab w:val="left" w:pos="1440"/>
        </w:tabs>
        <w:spacing w:after="0" w:line="360" w:lineRule="auto"/>
        <w:ind w:left="0"/>
        <w:jc w:val="both"/>
        <w:rPr>
          <w:rFonts w:ascii="Times New Roman" w:hAnsi="Times New Roman"/>
          <w:b/>
          <w:sz w:val="24"/>
          <w:szCs w:val="24"/>
        </w:rPr>
      </w:pPr>
      <w:r>
        <w:rPr>
          <w:rFonts w:ascii="Times New Roman" w:hAnsi="Times New Roman"/>
          <w:sz w:val="24"/>
          <w:szCs w:val="24"/>
        </w:rPr>
        <w:t xml:space="preserve">As the interaction effects of phosphorus and lime on the GY of malt barley were significant, the partial budget analyzes for treatments involving different combinations of P and lime and the results are summarized in </w:t>
      </w:r>
      <w:r>
        <w:rPr>
          <w:rFonts w:ascii="Times New Roman" w:hAnsi="Times New Roman"/>
          <w:b/>
          <w:sz w:val="24"/>
          <w:szCs w:val="24"/>
        </w:rPr>
        <w:t>Table 9</w:t>
      </w:r>
      <w:r>
        <w:rPr>
          <w:rFonts w:ascii="Times New Roman" w:hAnsi="Times New Roman"/>
          <w:sz w:val="24"/>
          <w:szCs w:val="24"/>
        </w:rPr>
        <w:t>. Consequently, all treatment combinations produced higher net benefits (NBT) per hectare of land in Ethiopian Birr (ETB) than those obtained from absolute control treatment. However, only three treatments were used, that is, 30kg P ha</w:t>
      </w:r>
      <w:r>
        <w:rPr>
          <w:rFonts w:ascii="Times New Roman" w:hAnsi="Times New Roman"/>
          <w:sz w:val="24"/>
          <w:szCs w:val="24"/>
          <w:vertAlign w:val="superscript"/>
        </w:rPr>
        <w:t>-1</w:t>
      </w:r>
      <w:r>
        <w:rPr>
          <w:rFonts w:ascii="Times New Roman" w:hAnsi="Times New Roman"/>
          <w:sz w:val="24"/>
          <w:szCs w:val="24"/>
        </w:rPr>
        <w:t>by 1.5t ha</w:t>
      </w:r>
      <w:r>
        <w:rPr>
          <w:rFonts w:ascii="Times New Roman" w:hAnsi="Times New Roman"/>
          <w:sz w:val="24"/>
          <w:szCs w:val="24"/>
          <w:vertAlign w:val="superscript"/>
        </w:rPr>
        <w:t>-1</w:t>
      </w:r>
      <w:r>
        <w:rPr>
          <w:rFonts w:ascii="Times New Roman" w:hAnsi="Times New Roman"/>
          <w:sz w:val="24"/>
          <w:szCs w:val="24"/>
        </w:rPr>
        <w:t>lime, 20kg P ha</w:t>
      </w:r>
      <w:r>
        <w:rPr>
          <w:rFonts w:ascii="Times New Roman" w:hAnsi="Times New Roman"/>
          <w:sz w:val="24"/>
          <w:szCs w:val="24"/>
          <w:vertAlign w:val="superscript"/>
        </w:rPr>
        <w:t>-1</w:t>
      </w:r>
      <w:r>
        <w:rPr>
          <w:rFonts w:ascii="Times New Roman" w:hAnsi="Times New Roman"/>
          <w:sz w:val="24"/>
          <w:szCs w:val="24"/>
        </w:rPr>
        <w:t xml:space="preserve"> by 3.0t ha</w:t>
      </w:r>
      <w:r>
        <w:rPr>
          <w:rFonts w:ascii="Times New Roman" w:hAnsi="Times New Roman"/>
          <w:sz w:val="24"/>
          <w:szCs w:val="24"/>
          <w:vertAlign w:val="superscript"/>
        </w:rPr>
        <w:t xml:space="preserve">-1 </w:t>
      </w:r>
      <w:r>
        <w:rPr>
          <w:rFonts w:ascii="Times New Roman" w:hAnsi="Times New Roman"/>
          <w:sz w:val="24"/>
          <w:szCs w:val="24"/>
        </w:rPr>
        <w:t>lime and 30kg P ha</w:t>
      </w:r>
      <w:r>
        <w:rPr>
          <w:rFonts w:ascii="Times New Roman" w:hAnsi="Times New Roman"/>
          <w:sz w:val="24"/>
          <w:szCs w:val="24"/>
          <w:vertAlign w:val="superscript"/>
        </w:rPr>
        <w:t>-1</w:t>
      </w:r>
      <w:r>
        <w:rPr>
          <w:rFonts w:ascii="Times New Roman" w:hAnsi="Times New Roman"/>
          <w:sz w:val="24"/>
          <w:szCs w:val="24"/>
        </w:rPr>
        <w:t xml:space="preserve"> by 3.0t ha</w:t>
      </w:r>
      <w:r>
        <w:rPr>
          <w:rFonts w:ascii="Times New Roman" w:hAnsi="Times New Roman"/>
          <w:sz w:val="24"/>
          <w:szCs w:val="24"/>
          <w:vertAlign w:val="superscript"/>
        </w:rPr>
        <w:t xml:space="preserve">-1 </w:t>
      </w:r>
      <w:r>
        <w:rPr>
          <w:rFonts w:ascii="Times New Roman" w:hAnsi="Times New Roman"/>
          <w:sz w:val="24"/>
          <w:szCs w:val="24"/>
        </w:rPr>
        <w:t>lime produced NBTs with acceptable percent marginal rate of return (MRR) of 100%. Among the treatment combinations that produced acceptable MRR, the highest MRR (316.8 %) was produced by 20kg P ha</w:t>
      </w:r>
      <w:r>
        <w:rPr>
          <w:rFonts w:ascii="Times New Roman" w:hAnsi="Times New Roman"/>
          <w:sz w:val="24"/>
          <w:szCs w:val="24"/>
          <w:vertAlign w:val="superscript"/>
        </w:rPr>
        <w:t>-1</w:t>
      </w:r>
      <w:r>
        <w:rPr>
          <w:rFonts w:ascii="Times New Roman" w:hAnsi="Times New Roman"/>
          <w:sz w:val="24"/>
          <w:szCs w:val="24"/>
        </w:rPr>
        <w:t xml:space="preserve"> by 3.0t ha</w:t>
      </w:r>
      <w:r>
        <w:rPr>
          <w:rFonts w:ascii="Times New Roman" w:hAnsi="Times New Roman"/>
          <w:sz w:val="24"/>
          <w:szCs w:val="24"/>
          <w:vertAlign w:val="superscript"/>
        </w:rPr>
        <w:t>-</w:t>
      </w:r>
      <w:r>
        <w:rPr>
          <w:rFonts w:ascii="Times New Roman" w:hAnsi="Times New Roman"/>
          <w:sz w:val="24"/>
          <w:szCs w:val="24"/>
          <w:vertAlign w:val="superscript"/>
        </w:rPr>
        <w:lastRenderedPageBreak/>
        <w:t>1</w:t>
      </w:r>
      <w:r>
        <w:rPr>
          <w:rFonts w:ascii="Times New Roman" w:hAnsi="Times New Roman"/>
          <w:sz w:val="24"/>
          <w:szCs w:val="24"/>
        </w:rPr>
        <w:t>lime, followed by 30kg P ha</w:t>
      </w:r>
      <w:r>
        <w:rPr>
          <w:rFonts w:ascii="Times New Roman" w:hAnsi="Times New Roman"/>
          <w:sz w:val="24"/>
          <w:szCs w:val="24"/>
          <w:vertAlign w:val="superscript"/>
        </w:rPr>
        <w:t>-1</w:t>
      </w:r>
      <w:r>
        <w:rPr>
          <w:rFonts w:ascii="Times New Roman" w:hAnsi="Times New Roman"/>
          <w:sz w:val="24"/>
          <w:szCs w:val="24"/>
        </w:rPr>
        <w:t xml:space="preserve"> by 1.5t ha</w:t>
      </w:r>
      <w:r>
        <w:rPr>
          <w:rFonts w:ascii="Times New Roman" w:hAnsi="Times New Roman"/>
          <w:sz w:val="24"/>
          <w:szCs w:val="24"/>
          <w:vertAlign w:val="superscript"/>
        </w:rPr>
        <w:t>-1</w:t>
      </w:r>
      <w:r>
        <w:rPr>
          <w:rFonts w:ascii="Times New Roman" w:hAnsi="Times New Roman"/>
          <w:sz w:val="24"/>
          <w:szCs w:val="24"/>
        </w:rPr>
        <w:t>lime (203.8%) and 30kg P ha</w:t>
      </w:r>
      <w:r>
        <w:rPr>
          <w:rFonts w:ascii="Times New Roman" w:hAnsi="Times New Roman"/>
          <w:sz w:val="24"/>
          <w:szCs w:val="24"/>
          <w:vertAlign w:val="superscript"/>
        </w:rPr>
        <w:t>-1</w:t>
      </w:r>
      <w:r>
        <w:rPr>
          <w:rFonts w:ascii="Times New Roman" w:hAnsi="Times New Roman"/>
          <w:sz w:val="24"/>
          <w:szCs w:val="24"/>
        </w:rPr>
        <w:t xml:space="preserve"> by 3.0t ha</w:t>
      </w:r>
      <w:r>
        <w:rPr>
          <w:rFonts w:ascii="Times New Roman" w:hAnsi="Times New Roman"/>
          <w:sz w:val="24"/>
          <w:szCs w:val="24"/>
          <w:vertAlign w:val="superscript"/>
        </w:rPr>
        <w:t>-1</w:t>
      </w:r>
      <w:r>
        <w:rPr>
          <w:rFonts w:ascii="Times New Roman" w:hAnsi="Times New Roman"/>
          <w:sz w:val="24"/>
          <w:szCs w:val="24"/>
        </w:rPr>
        <w:t xml:space="preserve">lime, (195.2%).  In all cases, these results imply that combined applications of P fertilizers and lime rates are economically feasible for the production of malt barley around the study areas </w:t>
      </w:r>
      <w:r>
        <w:rPr>
          <w:rFonts w:ascii="Times New Roman" w:hAnsi="Times New Roman"/>
          <w:b/>
          <w:sz w:val="24"/>
          <w:szCs w:val="24"/>
        </w:rPr>
        <w:t>(Table 9).</w:t>
      </w:r>
      <w:r>
        <w:rPr>
          <w:rFonts w:ascii="Times New Roman" w:hAnsi="Times New Roman"/>
          <w:sz w:val="24"/>
          <w:szCs w:val="24"/>
        </w:rPr>
        <w:t xml:space="preserve"> This is in agreement with the finding of </w:t>
      </w:r>
      <w:proofErr w:type="spellStart"/>
      <w:r>
        <w:rPr>
          <w:rFonts w:ascii="Times New Roman" w:hAnsi="Times New Roman"/>
          <w:sz w:val="24"/>
          <w:szCs w:val="24"/>
        </w:rPr>
        <w:t>Tadesse</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(2018), who reported that the combined application of P (30 kg P ha</w:t>
      </w:r>
      <w:r>
        <w:rPr>
          <w:rFonts w:ascii="Times New Roman" w:hAnsi="Times New Roman"/>
          <w:sz w:val="24"/>
          <w:szCs w:val="24"/>
          <w:vertAlign w:val="superscript"/>
        </w:rPr>
        <w:t>-1</w:t>
      </w:r>
      <w:r>
        <w:rPr>
          <w:rFonts w:ascii="Times New Roman" w:hAnsi="Times New Roman"/>
          <w:sz w:val="24"/>
          <w:szCs w:val="24"/>
        </w:rPr>
        <w:t>) and lime (1.5 tonha</w:t>
      </w:r>
      <w:r>
        <w:rPr>
          <w:rFonts w:ascii="Times New Roman" w:hAnsi="Times New Roman"/>
          <w:sz w:val="24"/>
          <w:szCs w:val="24"/>
          <w:vertAlign w:val="superscript"/>
        </w:rPr>
        <w:t>-1</w:t>
      </w:r>
      <w:r>
        <w:rPr>
          <w:rFonts w:ascii="Times New Roman" w:hAnsi="Times New Roman"/>
          <w:sz w:val="24"/>
          <w:szCs w:val="24"/>
        </w:rPr>
        <w:t xml:space="preserve">) to be economically viable for the production of malt barley in central Ethiopia. </w:t>
      </w:r>
    </w:p>
    <w:p w:rsidR="00002A88" w:rsidRPr="000C3750" w:rsidRDefault="00CE2C90" w:rsidP="00002A88">
      <w:pPr>
        <w:pStyle w:val="ListParagraph"/>
        <w:tabs>
          <w:tab w:val="left" w:pos="540"/>
          <w:tab w:val="left" w:pos="1440"/>
        </w:tabs>
        <w:spacing w:after="0" w:line="360" w:lineRule="auto"/>
        <w:ind w:left="0"/>
        <w:jc w:val="both"/>
        <w:rPr>
          <w:rFonts w:ascii="Times New Roman" w:hAnsi="Times New Roman"/>
          <w:b/>
          <w:sz w:val="24"/>
          <w:szCs w:val="24"/>
        </w:rPr>
      </w:pPr>
      <w:r>
        <w:rPr>
          <w:rFonts w:ascii="Times New Roman" w:hAnsi="Times New Roman"/>
          <w:b/>
          <w:sz w:val="24"/>
          <w:szCs w:val="24"/>
        </w:rPr>
        <w:t>Table 9: Results of the partial budget analysis data on the effects of treatment on the GY of the malt barley analyzed at the locations Bekoji and Kofele, central Ethiopia.</w:t>
      </w:r>
    </w:p>
    <w:tbl>
      <w:tblPr>
        <w:tblW w:w="8112" w:type="dxa"/>
        <w:jc w:val="center"/>
        <w:tblInd w:w="93" w:type="dxa"/>
        <w:tblBorders>
          <w:top w:val="single" w:sz="4" w:space="0" w:color="auto"/>
          <w:bottom w:val="single" w:sz="4" w:space="0" w:color="auto"/>
        </w:tblBorders>
        <w:tblLook w:val="04A0" w:firstRow="1" w:lastRow="0" w:firstColumn="1" w:lastColumn="0" w:noHBand="0" w:noVBand="1"/>
      </w:tblPr>
      <w:tblGrid>
        <w:gridCol w:w="851"/>
        <w:gridCol w:w="828"/>
        <w:gridCol w:w="672"/>
        <w:gridCol w:w="994"/>
        <w:gridCol w:w="739"/>
        <w:gridCol w:w="657"/>
        <w:gridCol w:w="616"/>
        <w:gridCol w:w="706"/>
        <w:gridCol w:w="639"/>
        <w:gridCol w:w="716"/>
        <w:gridCol w:w="694"/>
      </w:tblGrid>
      <w:tr w:rsidR="00206013" w:rsidRPr="000C3750" w:rsidTr="006A73F5">
        <w:trPr>
          <w:trHeight w:val="240"/>
          <w:jc w:val="center"/>
        </w:trPr>
        <w:tc>
          <w:tcPr>
            <w:tcW w:w="851" w:type="dxa"/>
            <w:vMerge w:val="restart"/>
            <w:tcBorders>
              <w:top w:val="single" w:sz="4" w:space="0" w:color="auto"/>
            </w:tcBorders>
            <w:shd w:val="clear" w:color="auto" w:fill="auto"/>
            <w:noWrap/>
            <w:vAlign w:val="bottom"/>
            <w:hideMark/>
          </w:tcPr>
          <w:p w:rsidR="00206013" w:rsidRPr="000C3750" w:rsidRDefault="00206013" w:rsidP="00206013">
            <w:pPr>
              <w:spacing w:after="0" w:line="240" w:lineRule="auto"/>
              <w:rPr>
                <w:rFonts w:eastAsia="Times New Roman"/>
                <w:b/>
                <w:bCs/>
                <w:sz w:val="20"/>
                <w:szCs w:val="20"/>
              </w:rPr>
            </w:pPr>
            <w:r w:rsidRPr="000C3750">
              <w:rPr>
                <w:rFonts w:eastAsia="Times New Roman"/>
                <w:b/>
                <w:bCs/>
                <w:sz w:val="20"/>
                <w:szCs w:val="20"/>
              </w:rPr>
              <w:t>P rate (kg/ha)</w:t>
            </w:r>
          </w:p>
        </w:tc>
        <w:tc>
          <w:tcPr>
            <w:tcW w:w="828" w:type="dxa"/>
            <w:vMerge w:val="restart"/>
            <w:tcBorders>
              <w:top w:val="single" w:sz="4" w:space="0" w:color="auto"/>
            </w:tcBorders>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Lime rate (t/ha)</w:t>
            </w:r>
          </w:p>
        </w:tc>
        <w:tc>
          <w:tcPr>
            <w:tcW w:w="672" w:type="dxa"/>
            <w:vMerge w:val="restart"/>
            <w:tcBorders>
              <w:top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Total</w:t>
            </w:r>
          </w:p>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 xml:space="preserve">GY </w:t>
            </w:r>
          </w:p>
        </w:tc>
        <w:tc>
          <w:tcPr>
            <w:tcW w:w="994" w:type="dxa"/>
            <w:vMerge w:val="restart"/>
            <w:tcBorders>
              <w:top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 xml:space="preserve">Adjusted </w:t>
            </w:r>
          </w:p>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 xml:space="preserve">GY </w:t>
            </w:r>
          </w:p>
        </w:tc>
        <w:tc>
          <w:tcPr>
            <w:tcW w:w="739"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*GB</w:t>
            </w:r>
          </w:p>
        </w:tc>
        <w:tc>
          <w:tcPr>
            <w:tcW w:w="657"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FC</w:t>
            </w:r>
          </w:p>
        </w:tc>
        <w:tc>
          <w:tcPr>
            <w:tcW w:w="616"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LC</w:t>
            </w:r>
          </w:p>
        </w:tc>
        <w:tc>
          <w:tcPr>
            <w:tcW w:w="706"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proofErr w:type="spellStart"/>
            <w:r w:rsidRPr="000C3750">
              <w:rPr>
                <w:rFonts w:eastAsia="Times New Roman"/>
                <w:b/>
                <w:bCs/>
                <w:sz w:val="20"/>
                <w:szCs w:val="20"/>
              </w:rPr>
              <w:t>LabC</w:t>
            </w:r>
            <w:proofErr w:type="spellEnd"/>
          </w:p>
        </w:tc>
        <w:tc>
          <w:tcPr>
            <w:tcW w:w="639"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TVC</w:t>
            </w:r>
          </w:p>
        </w:tc>
        <w:tc>
          <w:tcPr>
            <w:tcW w:w="716" w:type="dxa"/>
            <w:tcBorders>
              <w:top w:val="single" w:sz="4" w:space="0" w:color="auto"/>
              <w:bottom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NBT</w:t>
            </w:r>
          </w:p>
        </w:tc>
        <w:tc>
          <w:tcPr>
            <w:tcW w:w="694" w:type="dxa"/>
            <w:vMerge w:val="restart"/>
            <w:tcBorders>
              <w:top w:val="single" w:sz="4" w:space="0" w:color="auto"/>
            </w:tcBorders>
            <w:shd w:val="clear" w:color="auto" w:fill="auto"/>
            <w:noWrap/>
            <w:vAlign w:val="bottom"/>
            <w:hideMark/>
          </w:tcPr>
          <w:p w:rsidR="00206013" w:rsidRPr="000C3750" w:rsidRDefault="00206013" w:rsidP="00FD5A06">
            <w:pPr>
              <w:spacing w:after="0" w:line="240" w:lineRule="auto"/>
              <w:jc w:val="center"/>
              <w:rPr>
                <w:rFonts w:eastAsia="Times New Roman"/>
                <w:b/>
                <w:bCs/>
                <w:sz w:val="20"/>
                <w:szCs w:val="20"/>
              </w:rPr>
            </w:pPr>
            <w:r w:rsidRPr="000C3750">
              <w:rPr>
                <w:rFonts w:eastAsia="Times New Roman"/>
                <w:b/>
                <w:bCs/>
                <w:sz w:val="20"/>
                <w:szCs w:val="20"/>
              </w:rPr>
              <w:t>MRR (%)</w:t>
            </w:r>
          </w:p>
        </w:tc>
      </w:tr>
      <w:tr w:rsidR="00206013" w:rsidRPr="000C3750" w:rsidTr="006A73F5">
        <w:trPr>
          <w:trHeight w:val="240"/>
          <w:jc w:val="center"/>
        </w:trPr>
        <w:tc>
          <w:tcPr>
            <w:tcW w:w="851" w:type="dxa"/>
            <w:vMerge/>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c>
          <w:tcPr>
            <w:tcW w:w="828" w:type="dxa"/>
            <w:vMerge/>
          </w:tcPr>
          <w:p w:rsidR="00206013" w:rsidRPr="000C3750" w:rsidRDefault="00206013" w:rsidP="00FD5A06">
            <w:pPr>
              <w:spacing w:after="0" w:line="240" w:lineRule="auto"/>
              <w:jc w:val="center"/>
              <w:rPr>
                <w:rFonts w:eastAsia="Times New Roman"/>
                <w:b/>
                <w:bCs/>
                <w:sz w:val="20"/>
                <w:szCs w:val="20"/>
              </w:rPr>
            </w:pPr>
          </w:p>
        </w:tc>
        <w:tc>
          <w:tcPr>
            <w:tcW w:w="672" w:type="dxa"/>
            <w:vMerge/>
            <w:tcBorders>
              <w:bottom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c>
          <w:tcPr>
            <w:tcW w:w="994" w:type="dxa"/>
            <w:vMerge/>
            <w:tcBorders>
              <w:bottom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c>
          <w:tcPr>
            <w:tcW w:w="4073" w:type="dxa"/>
            <w:gridSpan w:val="6"/>
            <w:vMerge w:val="restart"/>
            <w:tcBorders>
              <w:top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vertAlign w:val="superscript"/>
              </w:rPr>
            </w:pPr>
            <w:r w:rsidRPr="000C3750">
              <w:rPr>
                <w:rFonts w:eastAsia="Times New Roman"/>
                <w:b/>
                <w:bCs/>
                <w:sz w:val="20"/>
                <w:szCs w:val="20"/>
              </w:rPr>
              <w:t>ETB ha</w:t>
            </w:r>
            <w:r w:rsidRPr="000C3750">
              <w:rPr>
                <w:rFonts w:eastAsia="Times New Roman"/>
                <w:b/>
                <w:bCs/>
                <w:sz w:val="20"/>
                <w:szCs w:val="20"/>
                <w:vertAlign w:val="superscript"/>
              </w:rPr>
              <w:t>-1</w:t>
            </w:r>
          </w:p>
          <w:p w:rsidR="00206013" w:rsidRPr="000C3750" w:rsidRDefault="00206013" w:rsidP="00FD5A06">
            <w:pPr>
              <w:spacing w:after="0" w:line="240" w:lineRule="auto"/>
              <w:jc w:val="center"/>
              <w:rPr>
                <w:rFonts w:eastAsia="Times New Roman"/>
                <w:b/>
                <w:bCs/>
                <w:sz w:val="20"/>
                <w:szCs w:val="20"/>
              </w:rPr>
            </w:pPr>
          </w:p>
        </w:tc>
        <w:tc>
          <w:tcPr>
            <w:tcW w:w="694" w:type="dxa"/>
            <w:vMerge/>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r>
      <w:tr w:rsidR="00206013" w:rsidRPr="000C3750" w:rsidTr="006A73F5">
        <w:trPr>
          <w:trHeight w:val="195"/>
          <w:jc w:val="center"/>
        </w:trPr>
        <w:tc>
          <w:tcPr>
            <w:tcW w:w="851" w:type="dxa"/>
            <w:vMerge/>
            <w:tcBorders>
              <w:bottom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c>
          <w:tcPr>
            <w:tcW w:w="828" w:type="dxa"/>
            <w:vMerge/>
            <w:tcBorders>
              <w:bottom w:val="single" w:sz="4" w:space="0" w:color="auto"/>
            </w:tcBorders>
          </w:tcPr>
          <w:p w:rsidR="00206013" w:rsidRPr="000C3750" w:rsidRDefault="00206013" w:rsidP="00FD5A06">
            <w:pPr>
              <w:spacing w:after="0" w:line="240" w:lineRule="auto"/>
              <w:jc w:val="center"/>
              <w:rPr>
                <w:rFonts w:eastAsia="Times New Roman"/>
                <w:b/>
                <w:bCs/>
                <w:sz w:val="20"/>
                <w:szCs w:val="20"/>
              </w:rPr>
            </w:pPr>
          </w:p>
        </w:tc>
        <w:tc>
          <w:tcPr>
            <w:tcW w:w="1666" w:type="dxa"/>
            <w:gridSpan w:val="2"/>
            <w:tcBorders>
              <w:top w:val="single" w:sz="4" w:space="0" w:color="auto"/>
              <w:bottom w:val="single" w:sz="4" w:space="0" w:color="auto"/>
            </w:tcBorders>
            <w:shd w:val="clear" w:color="auto" w:fill="auto"/>
            <w:noWrap/>
            <w:vAlign w:val="bottom"/>
          </w:tcPr>
          <w:p w:rsidR="00206013" w:rsidRPr="000C3750" w:rsidRDefault="00055E48" w:rsidP="00FD5A06">
            <w:pPr>
              <w:spacing w:after="0" w:line="240" w:lineRule="auto"/>
              <w:jc w:val="center"/>
              <w:rPr>
                <w:rFonts w:eastAsia="Times New Roman"/>
                <w:b/>
                <w:bCs/>
                <w:sz w:val="20"/>
                <w:szCs w:val="20"/>
              </w:rPr>
            </w:pPr>
            <w:r w:rsidRPr="000C3750">
              <w:rPr>
                <w:rFonts w:eastAsia="Times New Roman"/>
                <w:b/>
                <w:bCs/>
                <w:sz w:val="20"/>
                <w:szCs w:val="20"/>
              </w:rPr>
              <w:t>kgha</w:t>
            </w:r>
            <w:r w:rsidR="00206013" w:rsidRPr="000C3750">
              <w:rPr>
                <w:rFonts w:eastAsia="Times New Roman"/>
                <w:b/>
                <w:bCs/>
                <w:sz w:val="20"/>
                <w:szCs w:val="20"/>
                <w:vertAlign w:val="superscript"/>
              </w:rPr>
              <w:t>-1</w:t>
            </w:r>
          </w:p>
        </w:tc>
        <w:tc>
          <w:tcPr>
            <w:tcW w:w="4073" w:type="dxa"/>
            <w:gridSpan w:val="6"/>
            <w:vMerge/>
            <w:tcBorders>
              <w:bottom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c>
          <w:tcPr>
            <w:tcW w:w="694" w:type="dxa"/>
            <w:vMerge/>
            <w:tcBorders>
              <w:bottom w:val="single" w:sz="4" w:space="0" w:color="auto"/>
            </w:tcBorders>
            <w:shd w:val="clear" w:color="auto" w:fill="auto"/>
            <w:noWrap/>
            <w:vAlign w:val="bottom"/>
          </w:tcPr>
          <w:p w:rsidR="00206013" w:rsidRPr="000C3750" w:rsidRDefault="00206013" w:rsidP="00FD5A06">
            <w:pPr>
              <w:spacing w:after="0" w:line="240" w:lineRule="auto"/>
              <w:jc w:val="center"/>
              <w:rPr>
                <w:rFonts w:eastAsia="Times New Roman"/>
                <w:b/>
                <w:bCs/>
                <w:sz w:val="20"/>
                <w:szCs w:val="20"/>
              </w:rPr>
            </w:pPr>
          </w:p>
        </w:tc>
      </w:tr>
      <w:tr w:rsidR="00206013" w:rsidRPr="000C3750" w:rsidTr="006A73F5">
        <w:trPr>
          <w:trHeight w:val="197"/>
          <w:jc w:val="center"/>
        </w:trPr>
        <w:tc>
          <w:tcPr>
            <w:tcW w:w="851"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828" w:type="dxa"/>
            <w:tcBorders>
              <w:top w:val="single" w:sz="4" w:space="0" w:color="auto"/>
            </w:tcBorders>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72"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2530</w:t>
            </w:r>
          </w:p>
        </w:tc>
        <w:tc>
          <w:tcPr>
            <w:tcW w:w="994"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2277</w:t>
            </w:r>
          </w:p>
        </w:tc>
        <w:tc>
          <w:tcPr>
            <w:tcW w:w="739"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34155</w:t>
            </w:r>
          </w:p>
        </w:tc>
        <w:tc>
          <w:tcPr>
            <w:tcW w:w="657"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16"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706"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39"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716"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34155</w:t>
            </w:r>
          </w:p>
        </w:tc>
        <w:tc>
          <w:tcPr>
            <w:tcW w:w="694" w:type="dxa"/>
            <w:tcBorders>
              <w:top w:val="single" w:sz="4" w:space="0" w:color="auto"/>
            </w:tcBorders>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 </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2890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2601</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39015</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1875</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750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2625</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36390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85.1</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3110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2799</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41985</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3750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1500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5250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36735</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13.1</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2970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2673</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40095</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1200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1200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38895</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D**</w:t>
            </w:r>
          </w:p>
        </w:tc>
      </w:tr>
      <w:tr w:rsidR="00206013" w:rsidRPr="000C3750" w:rsidTr="006A73F5">
        <w:trPr>
          <w:trHeight w:val="9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3220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2898</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43470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1200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1875</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750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3825</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39645</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28.5</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3530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3177</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47655</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2400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2400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45255</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D</w:t>
            </w:r>
          </w:p>
        </w:tc>
      </w:tr>
      <w:tr w:rsidR="00206013" w:rsidRPr="000C3750" w:rsidTr="006A73F5">
        <w:trPr>
          <w:trHeight w:val="207"/>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4000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3600</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54000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1200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3750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1500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6450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47550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56.7</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3840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3456</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51840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3600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48240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D</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4030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3627</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54405</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2400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1875</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750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5025</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49380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95.0</w:t>
            </w:r>
          </w:p>
        </w:tc>
      </w:tr>
      <w:tr w:rsidR="00206013" w:rsidRPr="000C3750" w:rsidTr="006A73F5">
        <w:trPr>
          <w:trHeight w:val="8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4300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3870</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58050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1875</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750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6225</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51825</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203.8</w:t>
            </w:r>
          </w:p>
        </w:tc>
      </w:tr>
      <w:tr w:rsidR="00206013" w:rsidRPr="000C3750" w:rsidTr="006A73F5">
        <w:trPr>
          <w:trHeight w:val="27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4740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4266</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63990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2400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3750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1500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7650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56340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316.8</w:t>
            </w:r>
          </w:p>
        </w:tc>
      </w:tr>
      <w:tr w:rsidR="00206013" w:rsidRPr="000C3750" w:rsidTr="006A73F5">
        <w:trPr>
          <w:trHeight w:val="90"/>
          <w:jc w:val="center"/>
        </w:trPr>
        <w:tc>
          <w:tcPr>
            <w:tcW w:w="851"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828" w:type="dxa"/>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3.0</w:t>
            </w:r>
          </w:p>
        </w:tc>
        <w:tc>
          <w:tcPr>
            <w:tcW w:w="672"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5000</w:t>
            </w:r>
          </w:p>
        </w:tc>
        <w:tc>
          <w:tcPr>
            <w:tcW w:w="9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4500</w:t>
            </w:r>
          </w:p>
        </w:tc>
        <w:tc>
          <w:tcPr>
            <w:tcW w:w="7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67500</w:t>
            </w:r>
          </w:p>
        </w:tc>
        <w:tc>
          <w:tcPr>
            <w:tcW w:w="657"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3600</w:t>
            </w:r>
          </w:p>
        </w:tc>
        <w:tc>
          <w:tcPr>
            <w:tcW w:w="6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3750</w:t>
            </w:r>
          </w:p>
        </w:tc>
        <w:tc>
          <w:tcPr>
            <w:tcW w:w="70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1500</w:t>
            </w:r>
          </w:p>
        </w:tc>
        <w:tc>
          <w:tcPr>
            <w:tcW w:w="639"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8850</w:t>
            </w:r>
          </w:p>
        </w:tc>
        <w:tc>
          <w:tcPr>
            <w:tcW w:w="716"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58650</w:t>
            </w:r>
          </w:p>
        </w:tc>
        <w:tc>
          <w:tcPr>
            <w:tcW w:w="694" w:type="dxa"/>
            <w:shd w:val="clear" w:color="auto" w:fill="auto"/>
            <w:noWrap/>
            <w:vAlign w:val="bottom"/>
            <w:hideMark/>
          </w:tcPr>
          <w:p w:rsidR="00206013" w:rsidRPr="000C3750" w:rsidRDefault="00206013" w:rsidP="00206013">
            <w:pPr>
              <w:spacing w:after="0" w:line="240" w:lineRule="auto"/>
              <w:jc w:val="right"/>
              <w:rPr>
                <w:rFonts w:eastAsia="Times New Roman"/>
                <w:sz w:val="20"/>
                <w:szCs w:val="20"/>
              </w:rPr>
            </w:pPr>
            <w:r w:rsidRPr="000C3750">
              <w:rPr>
                <w:rFonts w:eastAsia="Times New Roman"/>
                <w:sz w:val="20"/>
                <w:szCs w:val="20"/>
              </w:rPr>
              <w:t>192.5</w:t>
            </w:r>
          </w:p>
        </w:tc>
      </w:tr>
    </w:tbl>
    <w:p w:rsidR="00002A88" w:rsidRPr="000C3750" w:rsidRDefault="00002A88" w:rsidP="00CA176A">
      <w:pPr>
        <w:pStyle w:val="ListParagraph"/>
        <w:tabs>
          <w:tab w:val="left" w:pos="540"/>
          <w:tab w:val="left" w:pos="1440"/>
        </w:tabs>
        <w:spacing w:after="0" w:line="360" w:lineRule="auto"/>
        <w:ind w:left="0"/>
        <w:rPr>
          <w:rFonts w:ascii="Times New Roman" w:hAnsi="Times New Roman"/>
          <w:i/>
          <w:sz w:val="24"/>
          <w:szCs w:val="24"/>
        </w:rPr>
      </w:pPr>
      <w:r w:rsidRPr="000C3750">
        <w:rPr>
          <w:rFonts w:ascii="Times New Roman" w:hAnsi="Times New Roman"/>
          <w:i/>
          <w:sz w:val="24"/>
          <w:szCs w:val="24"/>
        </w:rPr>
        <w:t>*GB = gross benefit (Birr ha</w:t>
      </w:r>
      <w:r w:rsidR="00BF344D" w:rsidRPr="000C3750">
        <w:rPr>
          <w:rFonts w:ascii="Times New Roman" w:hAnsi="Times New Roman"/>
          <w:i/>
          <w:sz w:val="24"/>
          <w:szCs w:val="24"/>
          <w:vertAlign w:val="superscript"/>
        </w:rPr>
        <w:t>-1</w:t>
      </w:r>
      <w:r w:rsidR="00055E48" w:rsidRPr="000C3750">
        <w:rPr>
          <w:rFonts w:ascii="Times New Roman" w:hAnsi="Times New Roman"/>
          <w:i/>
          <w:sz w:val="24"/>
          <w:szCs w:val="24"/>
        </w:rPr>
        <w:t>), FC = fertilizer cost(Birr ha</w:t>
      </w:r>
      <w:r w:rsidR="00055E48" w:rsidRPr="000C3750">
        <w:rPr>
          <w:rFonts w:ascii="Times New Roman" w:hAnsi="Times New Roman"/>
          <w:i/>
          <w:sz w:val="24"/>
          <w:szCs w:val="24"/>
          <w:vertAlign w:val="superscript"/>
        </w:rPr>
        <w:t>-1</w:t>
      </w:r>
      <w:r w:rsidR="00055E48" w:rsidRPr="000C3750">
        <w:rPr>
          <w:rFonts w:ascii="Times New Roman" w:hAnsi="Times New Roman"/>
          <w:i/>
          <w:sz w:val="24"/>
          <w:szCs w:val="24"/>
        </w:rPr>
        <w:t>), LC = lime cost(Birr ha</w:t>
      </w:r>
      <w:r w:rsidR="00055E48" w:rsidRPr="000C3750">
        <w:rPr>
          <w:rFonts w:ascii="Times New Roman" w:hAnsi="Times New Roman"/>
          <w:i/>
          <w:sz w:val="24"/>
          <w:szCs w:val="24"/>
          <w:vertAlign w:val="superscript"/>
        </w:rPr>
        <w:t>-1</w:t>
      </w:r>
      <w:r w:rsidR="00055E48" w:rsidRPr="000C3750">
        <w:rPr>
          <w:rFonts w:ascii="Times New Roman" w:hAnsi="Times New Roman"/>
          <w:i/>
          <w:sz w:val="24"/>
          <w:szCs w:val="24"/>
        </w:rPr>
        <w:t xml:space="preserve">), </w:t>
      </w:r>
      <w:proofErr w:type="spellStart"/>
      <w:r w:rsidR="00055E48" w:rsidRPr="000C3750">
        <w:rPr>
          <w:rFonts w:ascii="Times New Roman" w:hAnsi="Times New Roman"/>
          <w:i/>
          <w:sz w:val="24"/>
          <w:szCs w:val="24"/>
        </w:rPr>
        <w:t>Labc</w:t>
      </w:r>
      <w:proofErr w:type="spellEnd"/>
      <w:r w:rsidR="00055E48" w:rsidRPr="000C3750">
        <w:rPr>
          <w:rFonts w:ascii="Times New Roman" w:hAnsi="Times New Roman"/>
          <w:i/>
          <w:sz w:val="24"/>
          <w:szCs w:val="24"/>
        </w:rPr>
        <w:t xml:space="preserve"> = labor cost(Birr ha</w:t>
      </w:r>
      <w:r w:rsidR="00055E48" w:rsidRPr="000C3750">
        <w:rPr>
          <w:rFonts w:ascii="Times New Roman" w:hAnsi="Times New Roman"/>
          <w:i/>
          <w:sz w:val="24"/>
          <w:szCs w:val="24"/>
          <w:vertAlign w:val="superscript"/>
        </w:rPr>
        <w:t>-1</w:t>
      </w:r>
      <w:r w:rsidR="00055E48" w:rsidRPr="000C3750">
        <w:rPr>
          <w:rFonts w:ascii="Times New Roman" w:hAnsi="Times New Roman"/>
          <w:i/>
          <w:sz w:val="24"/>
          <w:szCs w:val="24"/>
        </w:rPr>
        <w:t>), TVC = total variable cost(Birr ha</w:t>
      </w:r>
      <w:r w:rsidR="00055E48" w:rsidRPr="000C3750">
        <w:rPr>
          <w:rFonts w:ascii="Times New Roman" w:hAnsi="Times New Roman"/>
          <w:i/>
          <w:sz w:val="24"/>
          <w:szCs w:val="24"/>
          <w:vertAlign w:val="superscript"/>
        </w:rPr>
        <w:t>-1</w:t>
      </w:r>
      <w:r w:rsidR="00055E48" w:rsidRPr="000C3750">
        <w:rPr>
          <w:rFonts w:ascii="Times New Roman" w:hAnsi="Times New Roman"/>
          <w:i/>
          <w:sz w:val="24"/>
          <w:szCs w:val="24"/>
        </w:rPr>
        <w:t>), NBT = net benefit(Birr ha</w:t>
      </w:r>
      <w:r w:rsidR="00055E48" w:rsidRPr="000C3750">
        <w:rPr>
          <w:rFonts w:ascii="Times New Roman" w:hAnsi="Times New Roman"/>
          <w:i/>
          <w:sz w:val="24"/>
          <w:szCs w:val="24"/>
          <w:vertAlign w:val="superscript"/>
        </w:rPr>
        <w:t>-1</w:t>
      </w:r>
      <w:r w:rsidR="00055E48" w:rsidRPr="000C3750">
        <w:rPr>
          <w:rFonts w:ascii="Times New Roman" w:hAnsi="Times New Roman"/>
          <w:i/>
          <w:sz w:val="24"/>
          <w:szCs w:val="24"/>
        </w:rPr>
        <w:t>), MMR = marginal rate of return; **D = dominated (1USD=30ETB)</w:t>
      </w:r>
    </w:p>
    <w:p w:rsidR="002D74D3" w:rsidRPr="000C3750" w:rsidRDefault="00DB35A8" w:rsidP="00CA176A">
      <w:pPr>
        <w:spacing w:after="0" w:line="360" w:lineRule="auto"/>
        <w:jc w:val="both"/>
        <w:rPr>
          <w:b/>
          <w:szCs w:val="24"/>
        </w:rPr>
      </w:pPr>
      <w:r w:rsidRPr="000C3750">
        <w:rPr>
          <w:b/>
          <w:szCs w:val="24"/>
        </w:rPr>
        <w:t>3.6 CONCLUSION</w:t>
      </w:r>
    </w:p>
    <w:p w:rsidR="002D74D3" w:rsidRPr="000C3750" w:rsidRDefault="002D74D3" w:rsidP="00CA176A">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The application of P fertilizer and liming has significantly increased the agronomic parameters, the grains quality components of malt barely, and  some selected soil chemical properties in both Bekoji and Kofele, suggesting that the soil P content in both locations is insufficient to improve crop productivity and production. Similarly, lime application (3 tha</w:t>
      </w:r>
      <w:r>
        <w:rPr>
          <w:rFonts w:ascii="Times New Roman" w:hAnsi="Times New Roman"/>
          <w:sz w:val="24"/>
          <w:szCs w:val="24"/>
          <w:vertAlign w:val="superscript"/>
        </w:rPr>
        <w:t>-1</w:t>
      </w:r>
      <w:r>
        <w:rPr>
          <w:rFonts w:ascii="Times New Roman" w:hAnsi="Times New Roman"/>
          <w:sz w:val="24"/>
          <w:szCs w:val="24"/>
        </w:rPr>
        <w:t>) has significantly improved the selected chemical properties of the soils in both locations and also significantly improved the yield of malt barley, indicating the importance of lime application to increase crop productivity in both locations. The application of both P fertilizer (30 kgha</w:t>
      </w:r>
      <w:r>
        <w:rPr>
          <w:rFonts w:ascii="Times New Roman" w:hAnsi="Times New Roman"/>
          <w:sz w:val="24"/>
          <w:szCs w:val="24"/>
          <w:vertAlign w:val="superscript"/>
        </w:rPr>
        <w:t>-1</w:t>
      </w:r>
      <w:r>
        <w:rPr>
          <w:rFonts w:ascii="Times New Roman" w:hAnsi="Times New Roman"/>
          <w:sz w:val="24"/>
          <w:szCs w:val="24"/>
        </w:rPr>
        <w:t>) and lime (1.5 tha</w:t>
      </w:r>
      <w:r>
        <w:rPr>
          <w:rFonts w:ascii="Times New Roman" w:hAnsi="Times New Roman"/>
          <w:sz w:val="24"/>
          <w:szCs w:val="24"/>
          <w:vertAlign w:val="superscript"/>
        </w:rPr>
        <w:t>-1</w:t>
      </w:r>
      <w:r>
        <w:rPr>
          <w:rFonts w:ascii="Times New Roman" w:hAnsi="Times New Roman"/>
          <w:sz w:val="24"/>
          <w:szCs w:val="24"/>
        </w:rPr>
        <w:t xml:space="preserve">) and their combinations produce higher net benefits per hectare compared to the control treatment. The lime and P rates obtained in this study could serve as a reference to increase barley production in the study area and areas with similar ago-ecology that have soil acidity problems. However, </w:t>
      </w:r>
      <w:r>
        <w:rPr>
          <w:rFonts w:ascii="Times New Roman" w:hAnsi="Times New Roman"/>
          <w:sz w:val="24"/>
          <w:szCs w:val="24"/>
        </w:rPr>
        <w:lastRenderedPageBreak/>
        <w:t>economically acceptable net benefits and marginal return rates were obtained from treatments involving 30 kg P ha</w:t>
      </w:r>
      <w:r>
        <w:rPr>
          <w:rFonts w:ascii="Times New Roman" w:hAnsi="Times New Roman"/>
          <w:sz w:val="24"/>
          <w:szCs w:val="24"/>
          <w:vertAlign w:val="superscript"/>
        </w:rPr>
        <w:t>-1</w:t>
      </w:r>
      <w:r>
        <w:rPr>
          <w:rFonts w:ascii="Times New Roman" w:hAnsi="Times New Roman"/>
          <w:sz w:val="24"/>
          <w:szCs w:val="24"/>
        </w:rPr>
        <w:t xml:space="preserve"> with 1.5 ton lime. Therefore, the combined application 20 kg P ha</w:t>
      </w:r>
      <w:r>
        <w:rPr>
          <w:rFonts w:ascii="Times New Roman" w:hAnsi="Times New Roman"/>
          <w:sz w:val="24"/>
          <w:szCs w:val="24"/>
          <w:vertAlign w:val="superscript"/>
        </w:rPr>
        <w:t>-1</w:t>
      </w:r>
      <w:r>
        <w:rPr>
          <w:rFonts w:ascii="Times New Roman" w:hAnsi="Times New Roman"/>
          <w:sz w:val="24"/>
          <w:szCs w:val="24"/>
        </w:rPr>
        <w:t xml:space="preserve"> and 3.0 ton lime ha</w:t>
      </w:r>
      <w:r>
        <w:rPr>
          <w:rFonts w:ascii="Times New Roman" w:hAnsi="Times New Roman"/>
          <w:sz w:val="24"/>
          <w:szCs w:val="24"/>
          <w:vertAlign w:val="superscript"/>
        </w:rPr>
        <w:t xml:space="preserve">-1 </w:t>
      </w:r>
      <w:r>
        <w:rPr>
          <w:rFonts w:ascii="Times New Roman" w:hAnsi="Times New Roman"/>
          <w:sz w:val="24"/>
          <w:szCs w:val="24"/>
        </w:rPr>
        <w:t xml:space="preserve">is recommended for optimum production with an acceptable quality of malt barley in the study areas. </w:t>
      </w:r>
    </w:p>
    <w:p w:rsidR="00BE01C2" w:rsidRPr="000C3750" w:rsidRDefault="00BE01C2" w:rsidP="00CA176A">
      <w:pPr>
        <w:pStyle w:val="BodyText"/>
        <w:spacing w:line="360" w:lineRule="auto"/>
      </w:pPr>
      <w:r w:rsidRPr="000C3750">
        <w:rPr>
          <w:b/>
        </w:rPr>
        <w:t>Data Availability</w:t>
      </w:r>
      <w:r w:rsidRPr="000C3750">
        <w:t xml:space="preserve"> </w:t>
      </w:r>
    </w:p>
    <w:p w:rsidR="00BE01C2" w:rsidRPr="000C3750" w:rsidRDefault="00BE01C2" w:rsidP="00CA176A">
      <w:pPr>
        <w:pStyle w:val="BodyText"/>
        <w:spacing w:line="360" w:lineRule="auto"/>
      </w:pPr>
      <w:r w:rsidRPr="000C3750">
        <w:t xml:space="preserve">All the necessary data are included in the manuscript. If additional data are required, the corresponding author can be contacted. </w:t>
      </w:r>
    </w:p>
    <w:p w:rsidR="00BE01C2" w:rsidRPr="000C3750" w:rsidRDefault="00BE01C2" w:rsidP="00CA176A">
      <w:pPr>
        <w:spacing w:after="0" w:line="360" w:lineRule="auto"/>
        <w:jc w:val="both"/>
        <w:rPr>
          <w:b/>
        </w:rPr>
      </w:pPr>
      <w:r w:rsidRPr="000C3750">
        <w:rPr>
          <w:b/>
        </w:rPr>
        <w:t>Conflicts of Interest</w:t>
      </w:r>
    </w:p>
    <w:p w:rsidR="00BE01C2" w:rsidRPr="000C3750" w:rsidRDefault="00BE01C2" w:rsidP="00CA176A">
      <w:pPr>
        <w:spacing w:after="0" w:line="360" w:lineRule="auto"/>
        <w:jc w:val="both"/>
      </w:pPr>
      <w:r w:rsidRPr="000C3750">
        <w:t>The authors declare that there are no conflicts of interest with respect to the publication of this article.</w:t>
      </w:r>
    </w:p>
    <w:p w:rsidR="00BE01C2" w:rsidRPr="000C3750" w:rsidRDefault="00BE01C2" w:rsidP="00CA176A">
      <w:pPr>
        <w:spacing w:after="0" w:line="360" w:lineRule="auto"/>
        <w:jc w:val="both"/>
      </w:pPr>
      <w:r w:rsidRPr="000C3750">
        <w:rPr>
          <w:b/>
        </w:rPr>
        <w:t>Acknowledgments</w:t>
      </w:r>
    </w:p>
    <w:p w:rsidR="00BE01C2" w:rsidRPr="000C3750" w:rsidRDefault="00BE01C2" w:rsidP="00CA176A">
      <w:pPr>
        <w:pStyle w:val="BodyText2"/>
        <w:spacing w:before="0" w:after="0"/>
        <w:rPr>
          <w:rFonts w:eastAsiaTheme="minorHAnsi"/>
          <w:szCs w:val="22"/>
        </w:rPr>
      </w:pPr>
      <w:r w:rsidRPr="000C3750">
        <w:rPr>
          <w:rFonts w:eastAsiaTheme="minorHAnsi"/>
          <w:szCs w:val="22"/>
        </w:rPr>
        <w:t xml:space="preserve">The authors acknowledge the </w:t>
      </w:r>
      <w:proofErr w:type="spellStart"/>
      <w:r w:rsidRPr="000C3750">
        <w:rPr>
          <w:rFonts w:eastAsiaTheme="minorHAnsi"/>
          <w:szCs w:val="22"/>
        </w:rPr>
        <w:t>Kulumsa</w:t>
      </w:r>
      <w:proofErr w:type="spellEnd"/>
      <w:r w:rsidRPr="000C3750">
        <w:rPr>
          <w:rFonts w:eastAsiaTheme="minorHAnsi"/>
          <w:szCs w:val="22"/>
        </w:rPr>
        <w:t xml:space="preserve"> Agricultural Research Center of the Ethiopian Institute of Agricultural Research Center for supplying the seeds of barley, quality analysis, soil analysis and providing the research used in this study. We also thank Wolaita Sodo University and the Ministry of Education for funding this PhD dissertation research work.</w:t>
      </w:r>
    </w:p>
    <w:p w:rsidR="002D74D3" w:rsidRPr="000C3750" w:rsidRDefault="00DA1D38" w:rsidP="00DA1D38">
      <w:pPr>
        <w:spacing w:after="0" w:line="360" w:lineRule="auto"/>
        <w:jc w:val="both"/>
        <w:rPr>
          <w:b/>
          <w:szCs w:val="24"/>
        </w:rPr>
      </w:pPr>
      <w:r w:rsidRPr="000C3750">
        <w:rPr>
          <w:b/>
          <w:szCs w:val="24"/>
        </w:rPr>
        <w:t>4. REFERENCES</w:t>
      </w:r>
    </w:p>
    <w:p w:rsidR="001F2C93" w:rsidRPr="000C3750" w:rsidRDefault="001F2C93" w:rsidP="001F2C93">
      <w:pPr>
        <w:pStyle w:val="BodyTextIndent"/>
        <w:autoSpaceDE/>
        <w:autoSpaceDN/>
        <w:adjustRightInd/>
        <w:rPr>
          <w:rFonts w:eastAsia="Calibri"/>
          <w:lang w:eastAsia="bg-BG"/>
        </w:rPr>
      </w:pPr>
      <w:r w:rsidRPr="000C3750">
        <w:rPr>
          <w:rFonts w:eastAsia="Calibri"/>
          <w:lang w:eastAsia="bg-BG"/>
        </w:rPr>
        <w:t xml:space="preserve">AACC (American Association of Cereal Chemists) (2000. Approved Methods of the American Association of Cereal Chemists, 10th ed. American Association of Cereal Chemists, </w:t>
      </w:r>
      <w:r>
        <w:rPr>
          <w:rFonts w:eastAsia="Calibri"/>
          <w:lang w:eastAsia="bg-BG"/>
        </w:rPr>
        <w:t>St. Paul, MN</w:t>
      </w:r>
      <w:r w:rsidRPr="000C3750">
        <w:rPr>
          <w:rFonts w:eastAsia="Calibri"/>
          <w:lang w:eastAsia="bg-BG"/>
        </w:rPr>
        <w:t>.</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proofErr w:type="spellStart"/>
      <w:r w:rsidRPr="000C3750">
        <w:rPr>
          <w:rFonts w:eastAsia="Calibri"/>
          <w:szCs w:val="24"/>
          <w:lang w:eastAsia="bg-BG"/>
        </w:rPr>
        <w:t>Abdisa</w:t>
      </w:r>
      <w:proofErr w:type="spellEnd"/>
      <w:r w:rsidRPr="000C3750">
        <w:rPr>
          <w:rFonts w:eastAsia="Calibri"/>
          <w:szCs w:val="24"/>
          <w:lang w:eastAsia="bg-BG"/>
        </w:rPr>
        <w:t xml:space="preserve">, </w:t>
      </w:r>
      <w:proofErr w:type="spellStart"/>
      <w:r w:rsidRPr="000C3750">
        <w:rPr>
          <w:rFonts w:eastAsia="Calibri"/>
          <w:szCs w:val="24"/>
          <w:lang w:eastAsia="bg-BG"/>
        </w:rPr>
        <w:t>Mekonnen</w:t>
      </w:r>
      <w:proofErr w:type="spellEnd"/>
      <w:r w:rsidRPr="000C3750">
        <w:rPr>
          <w:rFonts w:eastAsia="Calibri"/>
          <w:szCs w:val="24"/>
          <w:lang w:eastAsia="bg-BG"/>
        </w:rPr>
        <w:t xml:space="preserve"> </w:t>
      </w:r>
      <w:proofErr w:type="spellStart"/>
      <w:r w:rsidRPr="000C3750">
        <w:rPr>
          <w:rFonts w:eastAsia="Calibri"/>
          <w:szCs w:val="24"/>
          <w:lang w:eastAsia="bg-BG"/>
        </w:rPr>
        <w:t>Kebebew</w:t>
      </w:r>
      <w:proofErr w:type="spellEnd"/>
      <w:r w:rsidRPr="000C3750">
        <w:rPr>
          <w:rFonts w:eastAsia="Calibri"/>
          <w:szCs w:val="24"/>
          <w:lang w:eastAsia="bg-BG"/>
        </w:rPr>
        <w:t>. 2020. Effect of blended NPSB fertilizer rates on yield, yield components and quality parameters of food barley (</w:t>
      </w:r>
      <w:proofErr w:type="spellStart"/>
      <w:r w:rsidRPr="000C3750">
        <w:rPr>
          <w:rFonts w:eastAsia="Calibri"/>
          <w:i/>
          <w:iCs/>
          <w:szCs w:val="24"/>
          <w:lang w:eastAsia="bg-BG"/>
        </w:rPr>
        <w:t>Hordeum</w:t>
      </w:r>
      <w:proofErr w:type="spellEnd"/>
      <w:r w:rsidRPr="000C3750">
        <w:rPr>
          <w:rFonts w:eastAsia="Calibri"/>
          <w:i/>
          <w:iCs/>
          <w:szCs w:val="24"/>
          <w:lang w:eastAsia="bg-BG"/>
        </w:rPr>
        <w:t xml:space="preserve"> </w:t>
      </w:r>
      <w:proofErr w:type="spellStart"/>
      <w:r w:rsidRPr="000C3750">
        <w:rPr>
          <w:rFonts w:eastAsia="Calibri"/>
          <w:i/>
          <w:iCs/>
          <w:szCs w:val="24"/>
          <w:lang w:eastAsia="bg-BG"/>
        </w:rPr>
        <w:t>vulgare</w:t>
      </w:r>
      <w:proofErr w:type="spellEnd"/>
      <w:r w:rsidRPr="000C3750">
        <w:rPr>
          <w:rFonts w:eastAsia="Calibri"/>
          <w:i/>
          <w:iCs/>
          <w:szCs w:val="24"/>
          <w:lang w:eastAsia="bg-BG"/>
        </w:rPr>
        <w:t xml:space="preserve"> </w:t>
      </w:r>
      <w:r w:rsidRPr="000C3750">
        <w:rPr>
          <w:rFonts w:eastAsia="Calibri"/>
          <w:szCs w:val="24"/>
          <w:lang w:eastAsia="bg-BG"/>
        </w:rPr>
        <w:t xml:space="preserve">L.) varieties in </w:t>
      </w:r>
      <w:proofErr w:type="spellStart"/>
      <w:r w:rsidRPr="000C3750">
        <w:rPr>
          <w:rFonts w:eastAsia="Calibri"/>
          <w:szCs w:val="24"/>
          <w:lang w:eastAsia="bg-BG"/>
        </w:rPr>
        <w:t>Walmera</w:t>
      </w:r>
      <w:proofErr w:type="spellEnd"/>
      <w:r w:rsidRPr="000C3750">
        <w:rPr>
          <w:rFonts w:eastAsia="Calibri"/>
          <w:szCs w:val="24"/>
          <w:lang w:eastAsia="bg-BG"/>
        </w:rPr>
        <w:t xml:space="preserve"> District, Central Highland of Ethiopia. MSc Thesis, Ambo University, Ethiopia. pp. 42-54. </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proofErr w:type="spellStart"/>
      <w:r w:rsidRPr="000C3750">
        <w:rPr>
          <w:rFonts w:eastAsia="Calibri"/>
          <w:szCs w:val="24"/>
          <w:lang w:eastAsia="bg-BG"/>
        </w:rPr>
        <w:t>Abebe</w:t>
      </w:r>
      <w:proofErr w:type="spellEnd"/>
      <w:r w:rsidRPr="000C3750">
        <w:rPr>
          <w:rFonts w:eastAsia="Calibri"/>
          <w:szCs w:val="24"/>
          <w:lang w:eastAsia="bg-BG"/>
        </w:rPr>
        <w:t xml:space="preserve">, </w:t>
      </w:r>
      <w:proofErr w:type="spellStart"/>
      <w:r w:rsidRPr="000C3750">
        <w:rPr>
          <w:rFonts w:eastAsia="Calibri"/>
          <w:szCs w:val="24"/>
          <w:lang w:eastAsia="bg-BG"/>
        </w:rPr>
        <w:t>Assefa</w:t>
      </w:r>
      <w:proofErr w:type="spellEnd"/>
      <w:r w:rsidRPr="000C3750">
        <w:rPr>
          <w:rFonts w:eastAsia="Calibri"/>
          <w:szCs w:val="24"/>
          <w:lang w:eastAsia="bg-BG"/>
        </w:rPr>
        <w:t>. 2018. Effects of blended fertilizer rates on growth, yield and quality of malt barley (</w:t>
      </w:r>
      <w:proofErr w:type="spellStart"/>
      <w:r w:rsidRPr="000C3750">
        <w:rPr>
          <w:rFonts w:eastAsia="Calibri"/>
          <w:i/>
          <w:iCs/>
          <w:szCs w:val="24"/>
          <w:lang w:eastAsia="bg-BG"/>
        </w:rPr>
        <w:t>Hordeum</w:t>
      </w:r>
      <w:proofErr w:type="spellEnd"/>
      <w:r w:rsidRPr="000C3750">
        <w:rPr>
          <w:rFonts w:eastAsia="Calibri"/>
          <w:i/>
          <w:iCs/>
          <w:szCs w:val="24"/>
          <w:lang w:eastAsia="bg-BG"/>
        </w:rPr>
        <w:t xml:space="preserve"> </w:t>
      </w:r>
      <w:proofErr w:type="spellStart"/>
      <w:r w:rsidRPr="000C3750">
        <w:rPr>
          <w:rFonts w:eastAsia="Calibri"/>
          <w:i/>
          <w:iCs/>
          <w:szCs w:val="24"/>
          <w:lang w:eastAsia="bg-BG"/>
        </w:rPr>
        <w:t>distichum</w:t>
      </w:r>
      <w:proofErr w:type="spellEnd"/>
      <w:r w:rsidRPr="000C3750">
        <w:rPr>
          <w:rFonts w:eastAsia="Calibri"/>
          <w:i/>
          <w:iCs/>
          <w:szCs w:val="24"/>
          <w:lang w:eastAsia="bg-BG"/>
        </w:rPr>
        <w:t xml:space="preserve"> </w:t>
      </w:r>
      <w:r w:rsidRPr="000C3750">
        <w:rPr>
          <w:rFonts w:eastAsia="Calibri"/>
          <w:szCs w:val="24"/>
          <w:lang w:eastAsia="bg-BG"/>
        </w:rPr>
        <w:t xml:space="preserve">L.) varieties at </w:t>
      </w:r>
      <w:proofErr w:type="spellStart"/>
      <w:r w:rsidRPr="000C3750">
        <w:rPr>
          <w:rFonts w:eastAsia="Calibri"/>
          <w:szCs w:val="24"/>
          <w:lang w:eastAsia="bg-BG"/>
        </w:rPr>
        <w:t>Debre</w:t>
      </w:r>
      <w:proofErr w:type="spellEnd"/>
      <w:r w:rsidRPr="000C3750">
        <w:rPr>
          <w:rFonts w:eastAsia="Calibri"/>
          <w:szCs w:val="24"/>
          <w:lang w:eastAsia="bg-BG"/>
        </w:rPr>
        <w:t xml:space="preserve"> </w:t>
      </w:r>
      <w:proofErr w:type="spellStart"/>
      <w:r w:rsidRPr="000C3750">
        <w:rPr>
          <w:rFonts w:eastAsia="Calibri"/>
          <w:szCs w:val="24"/>
          <w:lang w:eastAsia="bg-BG"/>
        </w:rPr>
        <w:t>Berhan</w:t>
      </w:r>
      <w:proofErr w:type="spellEnd"/>
      <w:r w:rsidRPr="000C3750">
        <w:rPr>
          <w:rFonts w:eastAsia="Calibri"/>
          <w:szCs w:val="24"/>
          <w:lang w:eastAsia="bg-BG"/>
        </w:rPr>
        <w:t xml:space="preserve"> district central high land of Ethiopia. MSc Thesis, </w:t>
      </w:r>
      <w:proofErr w:type="spellStart"/>
      <w:r w:rsidRPr="000C3750">
        <w:rPr>
          <w:rFonts w:eastAsia="Calibri"/>
          <w:szCs w:val="24"/>
          <w:lang w:eastAsia="bg-BG"/>
        </w:rPr>
        <w:t>Haramaya</w:t>
      </w:r>
      <w:proofErr w:type="spellEnd"/>
      <w:r w:rsidRPr="000C3750">
        <w:rPr>
          <w:rFonts w:eastAsia="Calibri"/>
          <w:szCs w:val="24"/>
          <w:lang w:eastAsia="bg-BG"/>
        </w:rPr>
        <w:t xml:space="preserve"> University, Ethiopia. pp. 24-32.</w:t>
      </w:r>
    </w:p>
    <w:p w:rsidR="00517D8B" w:rsidRPr="000C3750" w:rsidRDefault="00517D8B" w:rsidP="00517D8B">
      <w:pPr>
        <w:autoSpaceDE w:val="0"/>
        <w:autoSpaceDN w:val="0"/>
        <w:adjustRightInd w:val="0"/>
        <w:spacing w:after="0" w:line="360" w:lineRule="auto"/>
        <w:ind w:left="720" w:hanging="720"/>
        <w:jc w:val="both"/>
        <w:rPr>
          <w:sz w:val="27"/>
          <w:szCs w:val="27"/>
          <w:shd w:val="clear" w:color="auto" w:fill="FFFFFF"/>
        </w:rPr>
      </w:pPr>
      <w:proofErr w:type="spellStart"/>
      <w:r w:rsidRPr="000C3750">
        <w:rPr>
          <w:sz w:val="27"/>
          <w:szCs w:val="27"/>
          <w:shd w:val="clear" w:color="auto" w:fill="FFFFFF"/>
        </w:rPr>
        <w:t>Abebe</w:t>
      </w:r>
      <w:proofErr w:type="spellEnd"/>
      <w:r w:rsidRPr="000C3750">
        <w:rPr>
          <w:sz w:val="27"/>
          <w:szCs w:val="27"/>
          <w:shd w:val="clear" w:color="auto" w:fill="FFFFFF"/>
        </w:rPr>
        <w:t>, M. (2007). </w:t>
      </w:r>
      <w:r w:rsidRPr="000C3750">
        <w:rPr>
          <w:i/>
          <w:iCs/>
          <w:sz w:val="27"/>
          <w:szCs w:val="27"/>
          <w:shd w:val="clear" w:color="auto" w:fill="FFFFFF"/>
        </w:rPr>
        <w:t>Nature and management of acid soils in Ethiopia</w:t>
      </w:r>
      <w:r w:rsidRPr="000C3750">
        <w:rPr>
          <w:sz w:val="27"/>
          <w:szCs w:val="27"/>
          <w:shd w:val="clear" w:color="auto" w:fill="FFFFFF"/>
        </w:rPr>
        <w:t>. Retrieved Dec 30, 2016. </w:t>
      </w:r>
      <w:hyperlink r:id="rId14" w:history="1">
        <w:r>
          <w:rPr>
            <w:rStyle w:val="Hyperlink"/>
            <w:color w:val="auto"/>
            <w:sz w:val="27"/>
            <w:szCs w:val="27"/>
            <w:shd w:val="clear" w:color="auto" w:fill="FFFFFF"/>
          </w:rPr>
          <w:t>http://www.scribd.com/doc/134036957/Soils-Acid-Management</w:t>
        </w:r>
      </w:hyperlink>
      <w:r w:rsidRPr="000C3750">
        <w:rPr>
          <w:sz w:val="27"/>
          <w:szCs w:val="27"/>
          <w:shd w:val="clear" w:color="auto" w:fill="FFFFFF"/>
        </w:rPr>
        <w:t>.</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bCs/>
          <w:szCs w:val="24"/>
        </w:rPr>
        <w:lastRenderedPageBreak/>
        <w:t>Achalu</w:t>
      </w:r>
      <w:proofErr w:type="spellEnd"/>
      <w:r w:rsidRPr="000C3750">
        <w:rPr>
          <w:bCs/>
          <w:szCs w:val="24"/>
        </w:rPr>
        <w:t xml:space="preserve">, C., </w:t>
      </w:r>
      <w:proofErr w:type="spellStart"/>
      <w:r w:rsidRPr="000C3750">
        <w:rPr>
          <w:bCs/>
          <w:szCs w:val="24"/>
        </w:rPr>
        <w:t>Heluf</w:t>
      </w:r>
      <w:proofErr w:type="spellEnd"/>
      <w:r w:rsidRPr="000C3750">
        <w:rPr>
          <w:bCs/>
          <w:szCs w:val="24"/>
        </w:rPr>
        <w:t xml:space="preserve">, G., </w:t>
      </w:r>
      <w:proofErr w:type="spellStart"/>
      <w:r w:rsidRPr="000C3750">
        <w:rPr>
          <w:bCs/>
          <w:szCs w:val="24"/>
        </w:rPr>
        <w:t>Kibebew</w:t>
      </w:r>
      <w:proofErr w:type="spellEnd"/>
      <w:r w:rsidRPr="000C3750">
        <w:rPr>
          <w:bCs/>
          <w:szCs w:val="24"/>
        </w:rPr>
        <w:t xml:space="preserve">, K., and </w:t>
      </w:r>
      <w:proofErr w:type="spellStart"/>
      <w:r w:rsidRPr="000C3750">
        <w:rPr>
          <w:bCs/>
          <w:szCs w:val="24"/>
        </w:rPr>
        <w:t>Abi</w:t>
      </w:r>
      <w:proofErr w:type="spellEnd"/>
      <w:r w:rsidRPr="000C3750">
        <w:rPr>
          <w:bCs/>
          <w:szCs w:val="24"/>
        </w:rPr>
        <w:t xml:space="preserve">, T. (2012). Response of barley to liming of acid soils collected from different land use systems of Western </w:t>
      </w:r>
      <w:proofErr w:type="spellStart"/>
      <w:r w:rsidRPr="000C3750">
        <w:rPr>
          <w:bCs/>
          <w:szCs w:val="24"/>
        </w:rPr>
        <w:t>Oromia</w:t>
      </w:r>
      <w:proofErr w:type="spellEnd"/>
      <w:r w:rsidRPr="000C3750">
        <w:rPr>
          <w:bCs/>
          <w:szCs w:val="24"/>
        </w:rPr>
        <w:t xml:space="preserve">, Ethiopia. J. Bio. and </w:t>
      </w:r>
      <w:proofErr w:type="spellStart"/>
      <w:r w:rsidRPr="000C3750">
        <w:rPr>
          <w:bCs/>
          <w:szCs w:val="24"/>
        </w:rPr>
        <w:t>Env</w:t>
      </w:r>
      <w:proofErr w:type="spellEnd"/>
      <w:r w:rsidRPr="000C3750">
        <w:rPr>
          <w:bCs/>
          <w:szCs w:val="24"/>
        </w:rPr>
        <w:t>. Sci., 2(5), 37-49.</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Adamu</w:t>
      </w:r>
      <w:proofErr w:type="spellEnd"/>
      <w:r w:rsidRPr="000C3750">
        <w:rPr>
          <w:szCs w:val="24"/>
        </w:rPr>
        <w:t xml:space="preserve">, M. (2018). Response of wheat to NP fertilizer rates, precursor crops and types of </w:t>
      </w:r>
      <w:proofErr w:type="spellStart"/>
      <w:r w:rsidRPr="000C3750">
        <w:rPr>
          <w:szCs w:val="24"/>
        </w:rPr>
        <w:t>vertisols</w:t>
      </w:r>
      <w:proofErr w:type="spellEnd"/>
      <w:r w:rsidRPr="000C3750">
        <w:rPr>
          <w:szCs w:val="24"/>
        </w:rPr>
        <w:t xml:space="preserve"> in central highlands of Ethiopia. J. Agric. </w:t>
      </w:r>
      <w:proofErr w:type="spellStart"/>
      <w:r w:rsidRPr="000C3750">
        <w:rPr>
          <w:szCs w:val="24"/>
        </w:rPr>
        <w:t>Scie</w:t>
      </w:r>
      <w:proofErr w:type="spellEnd"/>
      <w:r w:rsidRPr="000C3750">
        <w:rPr>
          <w:szCs w:val="24"/>
        </w:rPr>
        <w:t>.; 10 (4): 1-14.</w:t>
      </w:r>
    </w:p>
    <w:p w:rsidR="00517D8B" w:rsidRPr="000C3750" w:rsidRDefault="00517D8B" w:rsidP="00517D8B">
      <w:pPr>
        <w:autoSpaceDE w:val="0"/>
        <w:autoSpaceDN w:val="0"/>
        <w:adjustRightInd w:val="0"/>
        <w:spacing w:after="0" w:line="360" w:lineRule="auto"/>
        <w:ind w:left="720" w:hanging="720"/>
        <w:jc w:val="both"/>
        <w:rPr>
          <w:bCs/>
          <w:szCs w:val="24"/>
        </w:rPr>
      </w:pPr>
      <w:proofErr w:type="spellStart"/>
      <w:r w:rsidRPr="000C3750">
        <w:rPr>
          <w:bCs/>
          <w:szCs w:val="24"/>
        </w:rPr>
        <w:t>Addisu</w:t>
      </w:r>
      <w:proofErr w:type="spellEnd"/>
      <w:r w:rsidRPr="000C3750">
        <w:rPr>
          <w:bCs/>
          <w:szCs w:val="24"/>
        </w:rPr>
        <w:t>, B. (2018). Malt barley commercialization through contract farming scheme: A systematic review of experiences and prospects in Ethiopia. Afr. J. Agric. Res., 13 (53), 2957-2971.</w:t>
      </w:r>
    </w:p>
    <w:p w:rsidR="00517D8B" w:rsidRPr="000C3750" w:rsidRDefault="00517D8B" w:rsidP="00517D8B">
      <w:pPr>
        <w:spacing w:after="0" w:line="360" w:lineRule="auto"/>
        <w:ind w:left="720" w:hanging="720"/>
        <w:jc w:val="both"/>
      </w:pPr>
      <w:proofErr w:type="spellStart"/>
      <w:r w:rsidRPr="000C3750">
        <w:t>Agegnehu</w:t>
      </w:r>
      <w:proofErr w:type="spellEnd"/>
      <w:r w:rsidRPr="000C3750">
        <w:t xml:space="preserve"> G, Nelson PN, Bird MI (2016). The effects of </w:t>
      </w:r>
      <w:proofErr w:type="spellStart"/>
      <w:r w:rsidRPr="000C3750">
        <w:t>biochar</w:t>
      </w:r>
      <w:proofErr w:type="spellEnd"/>
      <w:r w:rsidRPr="000C3750">
        <w:t xml:space="preserve">, compost and their mixture and nitrogen fertilizer on yield and nitrogen use efficiency of barley grown on a </w:t>
      </w:r>
      <w:proofErr w:type="spellStart"/>
      <w:r w:rsidRPr="000C3750">
        <w:t>Nitisols</w:t>
      </w:r>
      <w:proofErr w:type="spellEnd"/>
      <w:r w:rsidRPr="000C3750">
        <w:t xml:space="preserve"> in the high-lands of Ethiopia. </w:t>
      </w:r>
      <w:proofErr w:type="spellStart"/>
      <w:r w:rsidRPr="000C3750">
        <w:rPr>
          <w:i/>
        </w:rPr>
        <w:t>Sci</w:t>
      </w:r>
      <w:proofErr w:type="spellEnd"/>
      <w:r w:rsidRPr="000C3750">
        <w:rPr>
          <w:i/>
        </w:rPr>
        <w:t xml:space="preserve"> Total Environ</w:t>
      </w:r>
      <w:r w:rsidRPr="000C3750">
        <w:t xml:space="preserve"> 569–570:869–879. https:// doi.org/10.1016/j.scitotenv.2016.05.033.</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iCs/>
          <w:szCs w:val="24"/>
        </w:rPr>
        <w:t>Berhane</w:t>
      </w:r>
      <w:proofErr w:type="spellEnd"/>
      <w:r w:rsidRPr="000C3750">
        <w:rPr>
          <w:iCs/>
          <w:szCs w:val="24"/>
        </w:rPr>
        <w:t xml:space="preserve">, L., </w:t>
      </w:r>
      <w:proofErr w:type="spellStart"/>
      <w:r w:rsidRPr="000C3750">
        <w:rPr>
          <w:iCs/>
          <w:szCs w:val="24"/>
        </w:rPr>
        <w:t>Hailu</w:t>
      </w:r>
      <w:proofErr w:type="spellEnd"/>
      <w:r w:rsidRPr="000C3750">
        <w:rPr>
          <w:iCs/>
          <w:szCs w:val="24"/>
        </w:rPr>
        <w:t xml:space="preserve">, G., and </w:t>
      </w:r>
      <w:proofErr w:type="spellStart"/>
      <w:r w:rsidRPr="000C3750">
        <w:rPr>
          <w:iCs/>
          <w:szCs w:val="24"/>
        </w:rPr>
        <w:t>Fekadu,A</w:t>
      </w:r>
      <w:proofErr w:type="spellEnd"/>
      <w:r w:rsidRPr="000C3750">
        <w:rPr>
          <w:iCs/>
          <w:szCs w:val="24"/>
        </w:rPr>
        <w:t xml:space="preserve">. (1996). Barley production and research. </w:t>
      </w:r>
      <w:r w:rsidRPr="000C3750">
        <w:rPr>
          <w:b/>
          <w:iCs/>
          <w:szCs w:val="24"/>
        </w:rPr>
        <w:t>In</w:t>
      </w:r>
      <w:r w:rsidRPr="000C3750">
        <w:rPr>
          <w:iCs/>
          <w:szCs w:val="24"/>
        </w:rPr>
        <w:t xml:space="preserve">: </w:t>
      </w:r>
      <w:proofErr w:type="spellStart"/>
      <w:r w:rsidRPr="000C3750">
        <w:rPr>
          <w:bCs/>
          <w:szCs w:val="24"/>
        </w:rPr>
        <w:t>Hailu</w:t>
      </w:r>
      <w:proofErr w:type="spellEnd"/>
      <w:r w:rsidR="006A73F5" w:rsidRPr="000C3750">
        <w:rPr>
          <w:bCs/>
          <w:szCs w:val="24"/>
        </w:rPr>
        <w:t xml:space="preserve"> </w:t>
      </w:r>
      <w:proofErr w:type="spellStart"/>
      <w:r w:rsidRPr="000C3750">
        <w:rPr>
          <w:bCs/>
          <w:szCs w:val="24"/>
        </w:rPr>
        <w:t>Gebre</w:t>
      </w:r>
      <w:proofErr w:type="spellEnd"/>
      <w:r w:rsidRPr="000C3750">
        <w:rPr>
          <w:bCs/>
          <w:szCs w:val="24"/>
        </w:rPr>
        <w:t xml:space="preserve"> and </w:t>
      </w:r>
      <w:proofErr w:type="spellStart"/>
      <w:r w:rsidRPr="000C3750">
        <w:rPr>
          <w:bCs/>
          <w:szCs w:val="24"/>
        </w:rPr>
        <w:t>Joop</w:t>
      </w:r>
      <w:proofErr w:type="spellEnd"/>
      <w:r w:rsidRPr="000C3750">
        <w:rPr>
          <w:bCs/>
          <w:szCs w:val="24"/>
        </w:rPr>
        <w:t xml:space="preserve"> van </w:t>
      </w:r>
      <w:proofErr w:type="spellStart"/>
      <w:r w:rsidRPr="000C3750">
        <w:rPr>
          <w:bCs/>
          <w:szCs w:val="24"/>
        </w:rPr>
        <w:t>Leur</w:t>
      </w:r>
      <w:proofErr w:type="spellEnd"/>
      <w:r w:rsidRPr="000C3750">
        <w:rPr>
          <w:bCs/>
          <w:szCs w:val="24"/>
        </w:rPr>
        <w:t xml:space="preserve"> (</w:t>
      </w:r>
      <w:proofErr w:type="spellStart"/>
      <w:r w:rsidRPr="000C3750">
        <w:rPr>
          <w:bCs/>
          <w:szCs w:val="24"/>
        </w:rPr>
        <w:t>eds</w:t>
      </w:r>
      <w:proofErr w:type="spellEnd"/>
      <w:r w:rsidRPr="000C3750">
        <w:rPr>
          <w:bCs/>
          <w:szCs w:val="24"/>
        </w:rPr>
        <w:t xml:space="preserve">).  Barley Research in Ethiopia: Past Work and Future prospects. Proceedings of the First Barley Research Review Workshop, 16-19 October 1993, Addis </w:t>
      </w:r>
      <w:proofErr w:type="spellStart"/>
      <w:r w:rsidRPr="000C3750">
        <w:rPr>
          <w:bCs/>
          <w:szCs w:val="24"/>
        </w:rPr>
        <w:t>Abeba</w:t>
      </w:r>
      <w:proofErr w:type="spellEnd"/>
      <w:r w:rsidRPr="000C3750">
        <w:rPr>
          <w:bCs/>
          <w:szCs w:val="24"/>
        </w:rPr>
        <w:t xml:space="preserve">: IAR/ICARDA. Addis </w:t>
      </w:r>
      <w:proofErr w:type="spellStart"/>
      <w:r w:rsidRPr="000C3750">
        <w:rPr>
          <w:bCs/>
          <w:szCs w:val="24"/>
        </w:rPr>
        <w:t>Abeba</w:t>
      </w:r>
      <w:proofErr w:type="spellEnd"/>
      <w:r w:rsidRPr="000C3750">
        <w:rPr>
          <w:bCs/>
          <w:szCs w:val="24"/>
        </w:rPr>
        <w:t>, Ethiopia.</w:t>
      </w:r>
    </w:p>
    <w:p w:rsidR="00517D8B" w:rsidRPr="000C3750" w:rsidRDefault="00517D8B" w:rsidP="00517D8B">
      <w:pPr>
        <w:spacing w:after="0" w:line="360" w:lineRule="auto"/>
        <w:ind w:left="720" w:hanging="720"/>
        <w:jc w:val="both"/>
      </w:pPr>
      <w:proofErr w:type="spellStart"/>
      <w:r w:rsidRPr="000C3750">
        <w:t>BiadgeKefale</w:t>
      </w:r>
      <w:proofErr w:type="spellEnd"/>
      <w:r w:rsidRPr="000C3750">
        <w:t xml:space="preserve"> (2016). Assessment of Malt Quality Attributes of Barley (</w:t>
      </w:r>
      <w:proofErr w:type="spellStart"/>
      <w:r w:rsidRPr="000C3750">
        <w:rPr>
          <w:i/>
        </w:rPr>
        <w:t>Hordeumvulgare</w:t>
      </w:r>
      <w:proofErr w:type="spellEnd"/>
      <w:r w:rsidRPr="000C3750">
        <w:t xml:space="preserve"> L) Genotypes grown in Bekoji, </w:t>
      </w:r>
      <w:proofErr w:type="spellStart"/>
      <w:r w:rsidRPr="000C3750">
        <w:t>Holeta</w:t>
      </w:r>
      <w:proofErr w:type="spellEnd"/>
      <w:r w:rsidRPr="000C3750">
        <w:t xml:space="preserve"> and </w:t>
      </w:r>
      <w:proofErr w:type="spellStart"/>
      <w:r w:rsidRPr="000C3750">
        <w:t>Ankober</w:t>
      </w:r>
      <w:proofErr w:type="spellEnd"/>
      <w:r w:rsidRPr="000C3750">
        <w:t xml:space="preserve">, </w:t>
      </w:r>
      <w:proofErr w:type="spellStart"/>
      <w:r w:rsidRPr="000C3750">
        <w:t>Ethiopia.PhD</w:t>
      </w:r>
      <w:proofErr w:type="spellEnd"/>
      <w:r w:rsidRPr="000C3750">
        <w:t xml:space="preserve"> dissertation</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Birhan</w:t>
      </w:r>
      <w:proofErr w:type="spellEnd"/>
      <w:r w:rsidRPr="000C3750">
        <w:rPr>
          <w:szCs w:val="24"/>
        </w:rPr>
        <w:t xml:space="preserve"> A, </w:t>
      </w:r>
      <w:proofErr w:type="spellStart"/>
      <w:r w:rsidRPr="000C3750">
        <w:rPr>
          <w:szCs w:val="24"/>
        </w:rPr>
        <w:t>Sofiya</w:t>
      </w:r>
      <w:proofErr w:type="spellEnd"/>
      <w:r w:rsidRPr="000C3750">
        <w:rPr>
          <w:szCs w:val="24"/>
        </w:rPr>
        <w:t xml:space="preserve"> K, </w:t>
      </w:r>
      <w:proofErr w:type="spellStart"/>
      <w:r w:rsidRPr="000C3750">
        <w:rPr>
          <w:szCs w:val="24"/>
        </w:rPr>
        <w:t>Temesgen</w:t>
      </w:r>
      <w:proofErr w:type="spellEnd"/>
      <w:r w:rsidRPr="000C3750">
        <w:rPr>
          <w:szCs w:val="24"/>
        </w:rPr>
        <w:t xml:space="preserve"> D, </w:t>
      </w:r>
      <w:proofErr w:type="spellStart"/>
      <w:r w:rsidRPr="000C3750">
        <w:rPr>
          <w:szCs w:val="24"/>
        </w:rPr>
        <w:t>Kassu</w:t>
      </w:r>
      <w:proofErr w:type="spellEnd"/>
      <w:r w:rsidRPr="000C3750">
        <w:rPr>
          <w:szCs w:val="24"/>
        </w:rPr>
        <w:t xml:space="preserve"> T., and </w:t>
      </w:r>
      <w:proofErr w:type="spellStart"/>
      <w:r w:rsidRPr="000C3750">
        <w:rPr>
          <w:szCs w:val="24"/>
        </w:rPr>
        <w:t>Mihreteab</w:t>
      </w:r>
      <w:proofErr w:type="spellEnd"/>
      <w:r w:rsidRPr="000C3750">
        <w:rPr>
          <w:szCs w:val="24"/>
        </w:rPr>
        <w:t>, H. (2016). Soil fertility management studies on wheat in Ethiopia: A review. Eth. J. Nat. Res., 16, 1-23.</w:t>
      </w:r>
    </w:p>
    <w:p w:rsidR="00517D8B" w:rsidRPr="000C3750" w:rsidRDefault="00517D8B" w:rsidP="00517D8B">
      <w:pPr>
        <w:autoSpaceDE w:val="0"/>
        <w:autoSpaceDN w:val="0"/>
        <w:adjustRightInd w:val="0"/>
        <w:spacing w:after="0" w:line="360" w:lineRule="auto"/>
        <w:ind w:left="720" w:hanging="720"/>
        <w:jc w:val="both"/>
        <w:rPr>
          <w:szCs w:val="24"/>
        </w:rPr>
      </w:pPr>
      <w:r w:rsidRPr="000C3750">
        <w:rPr>
          <w:szCs w:val="24"/>
        </w:rPr>
        <w:t xml:space="preserve">CIMMYT (International maize and wheat improvement Center). (1988). From agronomic data to farmers recommendations. Economics training manual, completely revised ed., Mexico, D. F. </w:t>
      </w:r>
    </w:p>
    <w:p w:rsidR="00517D8B" w:rsidRPr="000C3750" w:rsidRDefault="00517D8B" w:rsidP="00517D8B">
      <w:pPr>
        <w:autoSpaceDE w:val="0"/>
        <w:autoSpaceDN w:val="0"/>
        <w:adjustRightInd w:val="0"/>
        <w:spacing w:after="0" w:line="360" w:lineRule="auto"/>
        <w:ind w:left="720" w:hanging="720"/>
        <w:jc w:val="both"/>
        <w:rPr>
          <w:szCs w:val="24"/>
        </w:rPr>
      </w:pPr>
      <w:r w:rsidRPr="000C3750">
        <w:rPr>
          <w:szCs w:val="24"/>
        </w:rPr>
        <w:t xml:space="preserve">CSA (Central statistical agency) agricultural sample survey. (2020). Report on area and production of major crops (private peasant holdings, </w:t>
      </w:r>
      <w:proofErr w:type="spellStart"/>
      <w:r w:rsidRPr="000C3750">
        <w:rPr>
          <w:szCs w:val="24"/>
        </w:rPr>
        <w:t>Meher</w:t>
      </w:r>
      <w:proofErr w:type="spellEnd"/>
      <w:r w:rsidRPr="000C3750">
        <w:rPr>
          <w:szCs w:val="24"/>
        </w:rPr>
        <w:t xml:space="preserve"> season). Volume I, </w:t>
      </w:r>
      <w:r w:rsidRPr="000C3750">
        <w:rPr>
          <w:iCs/>
          <w:szCs w:val="24"/>
        </w:rPr>
        <w:t>Statistical bulletin</w:t>
      </w:r>
      <w:r w:rsidRPr="000C3750">
        <w:rPr>
          <w:szCs w:val="24"/>
        </w:rPr>
        <w:t xml:space="preserve">, Addis Ababa, Ethiopia, </w:t>
      </w:r>
    </w:p>
    <w:p w:rsidR="00517D8B" w:rsidRPr="000C3750" w:rsidRDefault="00517D8B" w:rsidP="00517D8B">
      <w:pPr>
        <w:autoSpaceDE w:val="0"/>
        <w:autoSpaceDN w:val="0"/>
        <w:adjustRightInd w:val="0"/>
        <w:spacing w:after="0" w:line="360" w:lineRule="auto"/>
        <w:ind w:left="720" w:hanging="720"/>
        <w:jc w:val="both"/>
        <w:rPr>
          <w:bCs/>
          <w:szCs w:val="24"/>
        </w:rPr>
      </w:pPr>
      <w:proofErr w:type="spellStart"/>
      <w:r w:rsidRPr="000C3750">
        <w:rPr>
          <w:bCs/>
          <w:szCs w:val="24"/>
        </w:rPr>
        <w:t>Derebe</w:t>
      </w:r>
      <w:proofErr w:type="spellEnd"/>
      <w:r w:rsidRPr="000C3750">
        <w:rPr>
          <w:bCs/>
          <w:szCs w:val="24"/>
        </w:rPr>
        <w:t xml:space="preserve">, T., </w:t>
      </w:r>
      <w:proofErr w:type="spellStart"/>
      <w:r w:rsidRPr="000C3750">
        <w:rPr>
          <w:bCs/>
          <w:szCs w:val="24"/>
        </w:rPr>
        <w:t>Temesgen</w:t>
      </w:r>
      <w:proofErr w:type="spellEnd"/>
      <w:r w:rsidRPr="000C3750">
        <w:rPr>
          <w:bCs/>
          <w:szCs w:val="24"/>
        </w:rPr>
        <w:t xml:space="preserve">, D., and </w:t>
      </w:r>
      <w:proofErr w:type="spellStart"/>
      <w:r w:rsidRPr="000C3750">
        <w:rPr>
          <w:bCs/>
          <w:szCs w:val="24"/>
        </w:rPr>
        <w:t>Habtamu</w:t>
      </w:r>
      <w:proofErr w:type="spellEnd"/>
      <w:r w:rsidRPr="000C3750">
        <w:rPr>
          <w:bCs/>
          <w:szCs w:val="24"/>
        </w:rPr>
        <w:t>, A. (2018). Effect of nitrogen fertilizer levels on grain yield and quality of malt barley (</w:t>
      </w:r>
      <w:proofErr w:type="spellStart"/>
      <w:r w:rsidRPr="000C3750">
        <w:rPr>
          <w:bCs/>
          <w:i/>
          <w:iCs/>
          <w:szCs w:val="24"/>
        </w:rPr>
        <w:t>Hordeum</w:t>
      </w:r>
      <w:proofErr w:type="spellEnd"/>
      <w:r w:rsidRPr="000C3750">
        <w:rPr>
          <w:bCs/>
          <w:i/>
          <w:iCs/>
          <w:szCs w:val="24"/>
        </w:rPr>
        <w:t xml:space="preserve"> </w:t>
      </w:r>
      <w:proofErr w:type="spellStart"/>
      <w:r w:rsidRPr="000C3750">
        <w:rPr>
          <w:bCs/>
          <w:i/>
          <w:iCs/>
          <w:szCs w:val="24"/>
        </w:rPr>
        <w:t>vulgare</w:t>
      </w:r>
      <w:r w:rsidRPr="000C3750">
        <w:rPr>
          <w:bCs/>
          <w:szCs w:val="24"/>
        </w:rPr>
        <w:t>L</w:t>
      </w:r>
      <w:proofErr w:type="spellEnd"/>
      <w:r w:rsidRPr="000C3750">
        <w:rPr>
          <w:bCs/>
          <w:szCs w:val="24"/>
        </w:rPr>
        <w:t xml:space="preserve">.) varieties at </w:t>
      </w:r>
      <w:proofErr w:type="spellStart"/>
      <w:r w:rsidRPr="000C3750">
        <w:rPr>
          <w:bCs/>
          <w:szCs w:val="24"/>
        </w:rPr>
        <w:t>Wolmera</w:t>
      </w:r>
      <w:proofErr w:type="spellEnd"/>
      <w:r w:rsidRPr="000C3750">
        <w:rPr>
          <w:bCs/>
          <w:szCs w:val="24"/>
        </w:rPr>
        <w:t xml:space="preserve"> district, </w:t>
      </w:r>
      <w:proofErr w:type="spellStart"/>
      <w:r w:rsidRPr="000C3750">
        <w:rPr>
          <w:bCs/>
          <w:szCs w:val="24"/>
        </w:rPr>
        <w:t>cntral</w:t>
      </w:r>
      <w:proofErr w:type="spellEnd"/>
      <w:r w:rsidRPr="000C3750">
        <w:rPr>
          <w:bCs/>
          <w:szCs w:val="24"/>
        </w:rPr>
        <w:t xml:space="preserve"> highland of Ethiopia. IJRSAS, 4 (4), 29-43.</w:t>
      </w:r>
    </w:p>
    <w:p w:rsidR="00517D8B" w:rsidRPr="000C3750" w:rsidRDefault="00517D8B" w:rsidP="00517D8B">
      <w:pPr>
        <w:autoSpaceDE w:val="0"/>
        <w:autoSpaceDN w:val="0"/>
        <w:adjustRightInd w:val="0"/>
        <w:spacing w:after="0" w:line="360" w:lineRule="auto"/>
        <w:ind w:left="720" w:hanging="720"/>
        <w:jc w:val="both"/>
        <w:rPr>
          <w:szCs w:val="24"/>
        </w:rPr>
      </w:pPr>
      <w:r w:rsidRPr="000C3750">
        <w:rPr>
          <w:szCs w:val="24"/>
        </w:rPr>
        <w:lastRenderedPageBreak/>
        <w:t>EIAR (Ethiopian Institute of Agricultural Research). (2007). Crop production technologies and their application, Ethiopian Institute of Agricultural Research (EIAR), Addis Ababa.</w:t>
      </w:r>
    </w:p>
    <w:p w:rsidR="00517D8B" w:rsidRPr="000C3750" w:rsidRDefault="00517D8B" w:rsidP="00517D8B">
      <w:pPr>
        <w:spacing w:after="0" w:line="360" w:lineRule="auto"/>
        <w:ind w:left="720" w:hanging="720"/>
        <w:jc w:val="both"/>
      </w:pPr>
      <w:r w:rsidRPr="000C3750">
        <w:t>EQSA (Ethiopia Quality Standards Authority) (2006). Malting Barley Specification. Addis Ababa, Ethiopia.</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r w:rsidRPr="000C3750">
        <w:rPr>
          <w:rFonts w:eastAsia="Calibri"/>
          <w:szCs w:val="24"/>
          <w:lang w:eastAsia="bg-BG"/>
        </w:rPr>
        <w:t xml:space="preserve">ESA (Ethiopian standard agency) (2001). Malt barley and Barley Malt Determination of protein and soluble nitrogen content of </w:t>
      </w:r>
      <w:proofErr w:type="spellStart"/>
      <w:r w:rsidRPr="000C3750">
        <w:rPr>
          <w:rFonts w:eastAsia="Calibri"/>
          <w:szCs w:val="24"/>
          <w:lang w:eastAsia="bg-BG"/>
        </w:rPr>
        <w:t>wort</w:t>
      </w:r>
      <w:proofErr w:type="spellEnd"/>
      <w:r w:rsidRPr="000C3750">
        <w:rPr>
          <w:rFonts w:eastAsia="Calibri"/>
          <w:szCs w:val="24"/>
          <w:lang w:eastAsia="bg-BG"/>
        </w:rPr>
        <w:t>. Ethiopian Standard agency, method ES 669-2001.</w:t>
      </w:r>
    </w:p>
    <w:p w:rsidR="00517D8B" w:rsidRPr="000C3750" w:rsidRDefault="00517D8B" w:rsidP="00517D8B">
      <w:pPr>
        <w:spacing w:after="0" w:line="360" w:lineRule="auto"/>
        <w:ind w:left="720" w:hanging="720"/>
        <w:jc w:val="both"/>
      </w:pPr>
      <w:r w:rsidRPr="000C3750">
        <w:rPr>
          <w:szCs w:val="24"/>
        </w:rPr>
        <w:t xml:space="preserve">FAO(Food and </w:t>
      </w:r>
      <w:r w:rsidRPr="000C3750">
        <w:rPr>
          <w:spacing w:val="1"/>
          <w:szCs w:val="24"/>
        </w:rPr>
        <w:t>A</w:t>
      </w:r>
      <w:r w:rsidRPr="000C3750">
        <w:rPr>
          <w:szCs w:val="24"/>
        </w:rPr>
        <w:t>gricul</w:t>
      </w:r>
      <w:r w:rsidRPr="000C3750">
        <w:rPr>
          <w:spacing w:val="2"/>
          <w:szCs w:val="24"/>
        </w:rPr>
        <w:t>t</w:t>
      </w:r>
      <w:r w:rsidRPr="000C3750">
        <w:rPr>
          <w:szCs w:val="24"/>
        </w:rPr>
        <w:t>ure Organi</w:t>
      </w:r>
      <w:r w:rsidRPr="000C3750">
        <w:rPr>
          <w:spacing w:val="1"/>
          <w:szCs w:val="24"/>
        </w:rPr>
        <w:t>z</w:t>
      </w:r>
      <w:r w:rsidRPr="000C3750">
        <w:rPr>
          <w:szCs w:val="24"/>
        </w:rPr>
        <w:t>ation of the United Nat</w:t>
      </w:r>
      <w:r w:rsidRPr="000C3750">
        <w:rPr>
          <w:spacing w:val="1"/>
          <w:szCs w:val="24"/>
        </w:rPr>
        <w:t>i</w:t>
      </w:r>
      <w:r w:rsidRPr="000C3750">
        <w:rPr>
          <w:szCs w:val="24"/>
        </w:rPr>
        <w:t>ons) (2017).Global production of</w:t>
      </w:r>
    </w:p>
    <w:p w:rsidR="00517D8B" w:rsidRPr="000C3750" w:rsidRDefault="00517D8B" w:rsidP="00517D8B">
      <w:pPr>
        <w:widowControl w:val="0"/>
        <w:autoSpaceDE w:val="0"/>
        <w:autoSpaceDN w:val="0"/>
        <w:adjustRightInd w:val="0"/>
        <w:spacing w:after="151" w:line="264" w:lineRule="exact"/>
        <w:ind w:right="1139" w:firstLine="720"/>
        <w:rPr>
          <w:szCs w:val="24"/>
        </w:rPr>
      </w:pPr>
      <w:r w:rsidRPr="000C3750">
        <w:rPr>
          <w:szCs w:val="24"/>
        </w:rPr>
        <w:t>barle</w:t>
      </w:r>
      <w:r w:rsidRPr="000C3750">
        <w:rPr>
          <w:spacing w:val="-1"/>
          <w:szCs w:val="24"/>
        </w:rPr>
        <w:t>y</w:t>
      </w:r>
      <w:r w:rsidRPr="000C3750">
        <w:rPr>
          <w:szCs w:val="24"/>
        </w:rPr>
        <w:t>. FAOSTAT annual report 2017. FAO, Ital</w:t>
      </w:r>
      <w:r w:rsidRPr="000C3750">
        <w:rPr>
          <w:spacing w:val="-2"/>
          <w:szCs w:val="24"/>
        </w:rPr>
        <w:t>y</w:t>
      </w:r>
      <w:r w:rsidRPr="000C3750">
        <w:rPr>
          <w:szCs w:val="24"/>
        </w:rPr>
        <w:t xml:space="preserve">. </w:t>
      </w:r>
      <w:proofErr w:type="spellStart"/>
      <w:r w:rsidRPr="000C3750">
        <w:rPr>
          <w:szCs w:val="24"/>
        </w:rPr>
        <w:t>pp</w:t>
      </w:r>
      <w:proofErr w:type="spellEnd"/>
      <w:r w:rsidRPr="000C3750">
        <w:rPr>
          <w:szCs w:val="24"/>
        </w:rPr>
        <w:t xml:space="preserve"> 75-83.</w:t>
      </w:r>
    </w:p>
    <w:p w:rsidR="00517D8B" w:rsidRPr="000C3750" w:rsidRDefault="00517D8B" w:rsidP="00517D8B">
      <w:pPr>
        <w:spacing w:after="0" w:line="360" w:lineRule="auto"/>
        <w:ind w:left="720" w:hanging="720"/>
        <w:jc w:val="both"/>
      </w:pPr>
      <w:r w:rsidRPr="000C3750">
        <w:t xml:space="preserve">Fox, G., </w:t>
      </w:r>
      <w:proofErr w:type="spellStart"/>
      <w:r w:rsidRPr="000C3750">
        <w:t>Panozzo</w:t>
      </w:r>
      <w:proofErr w:type="spellEnd"/>
      <w:r w:rsidRPr="000C3750">
        <w:t xml:space="preserve">, J., Li, C., Lance, R. C, </w:t>
      </w:r>
      <w:proofErr w:type="spellStart"/>
      <w:r w:rsidRPr="000C3750">
        <w:t>Inkerman</w:t>
      </w:r>
      <w:proofErr w:type="spellEnd"/>
      <w:r w:rsidRPr="000C3750">
        <w:t xml:space="preserve">, P., and Henry, R. J. (2003) Molecular basis of barley quality, </w:t>
      </w:r>
      <w:r w:rsidRPr="000C3750">
        <w:rPr>
          <w:i/>
        </w:rPr>
        <w:t>Australia journal of agriculture research</w:t>
      </w:r>
      <w:r w:rsidRPr="000C3750">
        <w:t>. 54, 1081–1101.</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r w:rsidRPr="000C3750">
        <w:rPr>
          <w:rFonts w:eastAsia="Calibri"/>
          <w:szCs w:val="24"/>
          <w:lang w:eastAsia="bg-BG"/>
        </w:rPr>
        <w:t xml:space="preserve">Fox G.P., </w:t>
      </w:r>
      <w:proofErr w:type="spellStart"/>
      <w:r w:rsidRPr="000C3750">
        <w:rPr>
          <w:rFonts w:eastAsia="Calibri"/>
          <w:szCs w:val="24"/>
          <w:lang w:eastAsia="bg-BG"/>
        </w:rPr>
        <w:t>Panozzo</w:t>
      </w:r>
      <w:proofErr w:type="spellEnd"/>
      <w:r w:rsidRPr="000C3750">
        <w:rPr>
          <w:rFonts w:eastAsia="Calibri"/>
          <w:szCs w:val="24"/>
          <w:lang w:eastAsia="bg-BG"/>
        </w:rPr>
        <w:t xml:space="preserve"> J.F., Li C.D., Lance R.C.M., </w:t>
      </w:r>
      <w:proofErr w:type="spellStart"/>
      <w:r w:rsidRPr="000C3750">
        <w:rPr>
          <w:rFonts w:eastAsia="Calibri"/>
          <w:szCs w:val="24"/>
          <w:lang w:eastAsia="bg-BG"/>
        </w:rPr>
        <w:t>Inkerman</w:t>
      </w:r>
      <w:proofErr w:type="spellEnd"/>
      <w:r w:rsidRPr="000C3750">
        <w:rPr>
          <w:rFonts w:eastAsia="Calibri"/>
          <w:szCs w:val="24"/>
          <w:lang w:eastAsia="bg-BG"/>
        </w:rPr>
        <w:t xml:space="preserve"> P.A. &amp; Henry R.J. 2006. Molecular basis of barley quality. </w:t>
      </w:r>
      <w:r w:rsidRPr="000C3750">
        <w:rPr>
          <w:rFonts w:eastAsia="Calibri"/>
          <w:i/>
          <w:iCs/>
          <w:szCs w:val="24"/>
          <w:lang w:eastAsia="bg-BG"/>
        </w:rPr>
        <w:t xml:space="preserve">Australian Journal of Agricultural Research </w:t>
      </w:r>
      <w:r w:rsidRPr="000C3750">
        <w:rPr>
          <w:rFonts w:eastAsia="Calibri"/>
          <w:szCs w:val="24"/>
          <w:lang w:eastAsia="bg-BG"/>
        </w:rPr>
        <w:t>54: 1081–1101</w:t>
      </w:r>
    </w:p>
    <w:p w:rsidR="00517D8B" w:rsidRPr="000C3750" w:rsidRDefault="00517D8B" w:rsidP="00517D8B">
      <w:pPr>
        <w:autoSpaceDE w:val="0"/>
        <w:autoSpaceDN w:val="0"/>
        <w:adjustRightInd w:val="0"/>
        <w:spacing w:after="0" w:line="360" w:lineRule="auto"/>
        <w:ind w:left="720" w:hanging="720"/>
        <w:jc w:val="both"/>
      </w:pPr>
      <w:proofErr w:type="spellStart"/>
      <w:r w:rsidRPr="000C3750">
        <w:t>Getachew</w:t>
      </w:r>
      <w:proofErr w:type="spellEnd"/>
      <w:r w:rsidRPr="000C3750">
        <w:t xml:space="preserve">, A. (2001). Response of barley to nitrogen and phosphorus application in </w:t>
      </w:r>
      <w:proofErr w:type="spellStart"/>
      <w:r w:rsidRPr="000C3750">
        <w:t>Wello</w:t>
      </w:r>
      <w:proofErr w:type="spellEnd"/>
      <w:r w:rsidRPr="000C3750">
        <w:t xml:space="preserve"> highlands of Ethiopia. </w:t>
      </w:r>
      <w:r w:rsidRPr="000C3750">
        <w:rPr>
          <w:i/>
        </w:rPr>
        <w:t>Eth. J. Nat. Res</w:t>
      </w:r>
      <w:r w:rsidRPr="000C3750">
        <w:t>., 3(1), 19-38.</w:t>
      </w:r>
    </w:p>
    <w:p w:rsidR="007948E9" w:rsidRPr="000C3750" w:rsidRDefault="007948E9" w:rsidP="007948E9">
      <w:pPr>
        <w:tabs>
          <w:tab w:val="left" w:pos="9720"/>
        </w:tabs>
        <w:spacing w:after="0" w:line="360" w:lineRule="auto"/>
        <w:ind w:left="785" w:right="180" w:hangingChars="327" w:hanging="785"/>
        <w:jc w:val="both"/>
        <w:rPr>
          <w:rFonts w:eastAsia="Calibri"/>
          <w:i/>
          <w:iCs/>
          <w:szCs w:val="24"/>
          <w:lang w:eastAsia="bg-BG"/>
        </w:rPr>
      </w:pPr>
      <w:proofErr w:type="spellStart"/>
      <w:r w:rsidRPr="000C3750">
        <w:rPr>
          <w:rFonts w:eastAsia="Calibri"/>
          <w:szCs w:val="24"/>
          <w:lang w:eastAsia="bg-BG"/>
        </w:rPr>
        <w:t>Havlin</w:t>
      </w:r>
      <w:proofErr w:type="spellEnd"/>
      <w:r w:rsidRPr="000C3750">
        <w:rPr>
          <w:rFonts w:eastAsia="Calibri"/>
          <w:szCs w:val="24"/>
          <w:lang w:eastAsia="bg-BG"/>
        </w:rPr>
        <w:t xml:space="preserve">, J.L., Beaton J.D., </w:t>
      </w:r>
      <w:proofErr w:type="spellStart"/>
      <w:r w:rsidRPr="000C3750">
        <w:rPr>
          <w:rFonts w:eastAsia="Calibri"/>
          <w:szCs w:val="24"/>
          <w:lang w:eastAsia="bg-BG"/>
        </w:rPr>
        <w:t>Tsdale</w:t>
      </w:r>
      <w:proofErr w:type="spellEnd"/>
      <w:r w:rsidRPr="000C3750">
        <w:rPr>
          <w:rFonts w:eastAsia="Calibri"/>
          <w:szCs w:val="24"/>
          <w:lang w:eastAsia="bg-BG"/>
        </w:rPr>
        <w:t xml:space="preserve">, S.L., nelson W.L. 1999. </w:t>
      </w:r>
      <w:r w:rsidRPr="000C3750">
        <w:rPr>
          <w:rFonts w:eastAsia="Calibri"/>
          <w:i/>
          <w:iCs/>
          <w:szCs w:val="24"/>
          <w:lang w:eastAsia="bg-BG"/>
        </w:rPr>
        <w:t xml:space="preserve">Soil fertility and fertilizer: an introduction to nutrient management </w:t>
      </w:r>
      <w:r w:rsidRPr="000C3750">
        <w:rPr>
          <w:rFonts w:eastAsia="Calibri"/>
          <w:szCs w:val="24"/>
          <w:lang w:eastAsia="bg-BG"/>
        </w:rPr>
        <w:t>Prentice Hall, New York, 499p.</w:t>
      </w:r>
    </w:p>
    <w:p w:rsidR="00FA4882" w:rsidRPr="000C3750" w:rsidRDefault="00FA4882" w:rsidP="00FA4882">
      <w:pPr>
        <w:tabs>
          <w:tab w:val="left" w:pos="9720"/>
        </w:tabs>
        <w:spacing w:after="0" w:line="360" w:lineRule="auto"/>
        <w:ind w:left="785" w:right="180" w:hangingChars="327" w:hanging="785"/>
        <w:jc w:val="both"/>
        <w:rPr>
          <w:rFonts w:eastAsia="Calibri"/>
          <w:szCs w:val="24"/>
          <w:lang w:eastAsia="bg-BG"/>
        </w:rPr>
      </w:pPr>
      <w:r w:rsidRPr="000C3750">
        <w:rPr>
          <w:rFonts w:eastAsia="Calibri"/>
          <w:szCs w:val="24"/>
          <w:lang w:eastAsia="bg-BG"/>
        </w:rPr>
        <w:t xml:space="preserve">ICARDA (International Center for Agricultural Research in Dry Areas). 2016. Building Resilient &amp; Diversified Livelihoods for Ethiopia's Smallholders. Linking barley farmers to malting industry. </w:t>
      </w:r>
      <w:r w:rsidRPr="000C3750">
        <w:rPr>
          <w:rFonts w:eastAsia="Calibri"/>
          <w:i/>
          <w:iCs/>
          <w:szCs w:val="24"/>
          <w:lang w:eastAsia="bg-BG"/>
        </w:rPr>
        <w:t xml:space="preserve">Acting Regional Coordinator for Sub-Saharan Africa, ICARDA, at </w:t>
      </w:r>
      <w:r w:rsidRPr="000C3750">
        <w:rPr>
          <w:rFonts w:eastAsia="Calibri"/>
          <w:szCs w:val="24"/>
          <w:lang w:eastAsia="bg-BG"/>
        </w:rPr>
        <w:t>Z.BISHAW@CGIAR.ORG</w:t>
      </w:r>
      <w:r w:rsidRPr="000C3750">
        <w:rPr>
          <w:rFonts w:eastAsia="Calibri"/>
          <w:i/>
          <w:iCs/>
          <w:szCs w:val="24"/>
          <w:lang w:eastAsia="bg-BG"/>
        </w:rPr>
        <w:t>.</w:t>
      </w:r>
    </w:p>
    <w:p w:rsidR="00310C86" w:rsidRPr="000C3750" w:rsidRDefault="00310C86" w:rsidP="00310C86">
      <w:pPr>
        <w:tabs>
          <w:tab w:val="left" w:pos="9720"/>
        </w:tabs>
        <w:spacing w:after="0" w:line="360" w:lineRule="auto"/>
        <w:ind w:left="785" w:right="180" w:hangingChars="327" w:hanging="785"/>
        <w:jc w:val="both"/>
        <w:rPr>
          <w:rFonts w:eastAsia="Calibri"/>
          <w:szCs w:val="24"/>
          <w:lang w:eastAsia="bg-BG"/>
        </w:rPr>
      </w:pPr>
      <w:r w:rsidRPr="000C3750">
        <w:rPr>
          <w:rFonts w:eastAsia="Calibri"/>
          <w:szCs w:val="24"/>
          <w:lang w:eastAsia="bg-BG"/>
        </w:rPr>
        <w:t>IFPRI (International Food Policy Research Institute) (2010). Fertilizer and soil fertility potentials in Ethiopia. Working Paper, Addis Ababa, Ethiopia.</w:t>
      </w:r>
    </w:p>
    <w:p w:rsidR="00517D8B" w:rsidRPr="000C3750" w:rsidRDefault="00517D8B" w:rsidP="00517D8B">
      <w:pPr>
        <w:pStyle w:val="BodyTextIndent"/>
      </w:pPr>
      <w:r w:rsidRPr="000C3750">
        <w:t>Jones, J.J. (2001). Laboratory guides for conducting soil tests and plant analysis. CRC Press: London.</w:t>
      </w:r>
    </w:p>
    <w:p w:rsidR="00517D8B" w:rsidRPr="000C3750" w:rsidRDefault="00517D8B" w:rsidP="00517D8B">
      <w:pPr>
        <w:spacing w:after="0" w:line="360" w:lineRule="auto"/>
        <w:ind w:left="720" w:hanging="720"/>
        <w:jc w:val="both"/>
      </w:pPr>
      <w:proofErr w:type="spellStart"/>
      <w:r w:rsidRPr="000C3750">
        <w:t>Kassu</w:t>
      </w:r>
      <w:proofErr w:type="spellEnd"/>
      <w:r w:rsidRPr="000C3750">
        <w:t> </w:t>
      </w:r>
      <w:proofErr w:type="spellStart"/>
      <w:r w:rsidRPr="000C3750">
        <w:t>Tadesse</w:t>
      </w:r>
      <w:proofErr w:type="spellEnd"/>
      <w:r w:rsidRPr="000C3750">
        <w:t>,  </w:t>
      </w:r>
      <w:proofErr w:type="spellStart"/>
      <w:r w:rsidRPr="000C3750">
        <w:t>Asrat</w:t>
      </w:r>
      <w:proofErr w:type="spellEnd"/>
      <w:r w:rsidRPr="000C3750">
        <w:t> </w:t>
      </w:r>
      <w:proofErr w:type="spellStart"/>
      <w:r w:rsidRPr="000C3750">
        <w:t>Mekonnen</w:t>
      </w:r>
      <w:proofErr w:type="spellEnd"/>
      <w:r w:rsidRPr="000C3750">
        <w:t>, </w:t>
      </w:r>
      <w:proofErr w:type="spellStart"/>
      <w:r w:rsidRPr="000C3750">
        <w:t>Almaz</w:t>
      </w:r>
      <w:proofErr w:type="spellEnd"/>
      <w:r w:rsidRPr="000C3750">
        <w:t> </w:t>
      </w:r>
      <w:proofErr w:type="spellStart"/>
      <w:r w:rsidRPr="000C3750">
        <w:t>Admasu</w:t>
      </w:r>
      <w:proofErr w:type="spellEnd"/>
      <w:r w:rsidRPr="000C3750">
        <w:t xml:space="preserve">, </w:t>
      </w:r>
      <w:proofErr w:type="spellStart"/>
      <w:r w:rsidRPr="000C3750">
        <w:t>Wubengda</w:t>
      </w:r>
      <w:proofErr w:type="spellEnd"/>
      <w:r w:rsidRPr="000C3750">
        <w:t> </w:t>
      </w:r>
      <w:proofErr w:type="spellStart"/>
      <w:r w:rsidRPr="000C3750">
        <w:t>Admasu</w:t>
      </w:r>
      <w:proofErr w:type="spellEnd"/>
      <w:r w:rsidRPr="000C3750">
        <w:t xml:space="preserve">, </w:t>
      </w:r>
      <w:proofErr w:type="spellStart"/>
      <w:r w:rsidRPr="000C3750">
        <w:t>Dawit</w:t>
      </w:r>
      <w:proofErr w:type="spellEnd"/>
      <w:r w:rsidRPr="000C3750">
        <w:t> </w:t>
      </w:r>
      <w:proofErr w:type="spellStart"/>
      <w:r w:rsidRPr="000C3750">
        <w:t>Habte</w:t>
      </w:r>
      <w:proofErr w:type="spellEnd"/>
      <w:r w:rsidRPr="000C3750">
        <w:t xml:space="preserve">,  </w:t>
      </w:r>
      <w:proofErr w:type="spellStart"/>
      <w:r w:rsidRPr="000C3750">
        <w:t>Amare</w:t>
      </w:r>
      <w:proofErr w:type="spellEnd"/>
      <w:r w:rsidRPr="000C3750">
        <w:t> </w:t>
      </w:r>
      <w:proofErr w:type="spellStart"/>
      <w:r w:rsidRPr="000C3750">
        <w:t>Tadesse</w:t>
      </w:r>
      <w:proofErr w:type="spellEnd"/>
      <w:r w:rsidRPr="000C3750">
        <w:t xml:space="preserve"> and </w:t>
      </w:r>
      <w:proofErr w:type="spellStart"/>
      <w:r w:rsidRPr="000C3750">
        <w:t>Bahiru</w:t>
      </w:r>
      <w:proofErr w:type="spellEnd"/>
      <w:r w:rsidRPr="000C3750">
        <w:t> </w:t>
      </w:r>
      <w:proofErr w:type="spellStart"/>
      <w:r w:rsidRPr="000C3750">
        <w:t>Tilahun</w:t>
      </w:r>
      <w:proofErr w:type="spellEnd"/>
      <w:r w:rsidRPr="000C3750">
        <w:t xml:space="preserve">  (2018). Malting barley response to integrated organic and mineral nutrient sources in </w:t>
      </w:r>
      <w:proofErr w:type="spellStart"/>
      <w:r w:rsidRPr="000C3750">
        <w:t>Nitisol</w:t>
      </w:r>
      <w:proofErr w:type="spellEnd"/>
      <w:r w:rsidRPr="000C3750">
        <w:t xml:space="preserve">. International Journal of Recycling of Organic Waste in Agriculture 7:125–134 </w:t>
      </w:r>
      <w:hyperlink r:id="rId15" w:history="1">
        <w:r>
          <w:rPr>
            <w:rStyle w:val="Hyperlink"/>
            <w:color w:val="auto"/>
          </w:rPr>
          <w:t>https://doi.org/10.1007/s40093-018-0198-6</w:t>
        </w:r>
      </w:hyperlink>
      <w:r w:rsidRPr="000C3750">
        <w:t>.</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proofErr w:type="spellStart"/>
      <w:r w:rsidRPr="000C3750">
        <w:rPr>
          <w:rFonts w:eastAsia="Calibri"/>
          <w:szCs w:val="24"/>
          <w:lang w:eastAsia="bg-BG"/>
        </w:rPr>
        <w:lastRenderedPageBreak/>
        <w:t>Kefale</w:t>
      </w:r>
      <w:proofErr w:type="spellEnd"/>
      <w:r w:rsidRPr="000C3750">
        <w:rPr>
          <w:rFonts w:eastAsia="Calibri"/>
          <w:szCs w:val="24"/>
          <w:lang w:eastAsia="bg-BG"/>
        </w:rPr>
        <w:t xml:space="preserve"> B, </w:t>
      </w:r>
      <w:proofErr w:type="spellStart"/>
      <w:r w:rsidRPr="000C3750">
        <w:rPr>
          <w:rFonts w:eastAsia="Calibri"/>
          <w:szCs w:val="24"/>
          <w:lang w:eastAsia="bg-BG"/>
        </w:rPr>
        <w:t>Zewdu</w:t>
      </w:r>
      <w:proofErr w:type="spellEnd"/>
      <w:r w:rsidRPr="000C3750">
        <w:rPr>
          <w:rFonts w:eastAsia="Calibri"/>
          <w:szCs w:val="24"/>
          <w:lang w:eastAsia="bg-BG"/>
        </w:rPr>
        <w:t xml:space="preserve"> A, </w:t>
      </w:r>
      <w:proofErr w:type="spellStart"/>
      <w:r w:rsidRPr="000C3750">
        <w:rPr>
          <w:rFonts w:eastAsia="Calibri"/>
          <w:szCs w:val="24"/>
          <w:lang w:eastAsia="bg-BG"/>
        </w:rPr>
        <w:t>Lakew</w:t>
      </w:r>
      <w:proofErr w:type="spellEnd"/>
      <w:r w:rsidRPr="000C3750">
        <w:rPr>
          <w:rFonts w:eastAsia="Calibri"/>
          <w:szCs w:val="24"/>
          <w:lang w:eastAsia="bg-BG"/>
        </w:rPr>
        <w:t xml:space="preserve"> B. 2016. Assessment of Malt Quality Attributes of Barley Genotypes grown in Bekoji, </w:t>
      </w:r>
      <w:proofErr w:type="spellStart"/>
      <w:r w:rsidRPr="000C3750">
        <w:rPr>
          <w:rFonts w:eastAsia="Calibri"/>
          <w:szCs w:val="24"/>
          <w:lang w:eastAsia="bg-BG"/>
        </w:rPr>
        <w:t>Holeta</w:t>
      </w:r>
      <w:proofErr w:type="spellEnd"/>
      <w:r w:rsidRPr="000C3750">
        <w:rPr>
          <w:rFonts w:eastAsia="Calibri"/>
          <w:szCs w:val="24"/>
          <w:lang w:eastAsia="bg-BG"/>
        </w:rPr>
        <w:t xml:space="preserve"> and </w:t>
      </w:r>
      <w:proofErr w:type="spellStart"/>
      <w:r w:rsidRPr="000C3750">
        <w:rPr>
          <w:rFonts w:eastAsia="Calibri"/>
          <w:szCs w:val="24"/>
          <w:lang w:eastAsia="bg-BG"/>
        </w:rPr>
        <w:t>Ankober</w:t>
      </w:r>
      <w:proofErr w:type="spellEnd"/>
      <w:r w:rsidRPr="000C3750">
        <w:rPr>
          <w:rFonts w:eastAsia="Calibri"/>
          <w:szCs w:val="24"/>
          <w:lang w:eastAsia="bg-BG"/>
        </w:rPr>
        <w:t xml:space="preserve">, Ethiopia. </w:t>
      </w:r>
      <w:r w:rsidRPr="000C3750">
        <w:rPr>
          <w:rFonts w:eastAsia="Calibri"/>
          <w:i/>
          <w:iCs/>
          <w:szCs w:val="24"/>
          <w:lang w:eastAsia="bg-BG"/>
        </w:rPr>
        <w:t>Acad. Res. Jour. Agri. Sci. Res</w:t>
      </w:r>
      <w:r w:rsidRPr="000C3750">
        <w:rPr>
          <w:rFonts w:eastAsia="Calibri"/>
          <w:szCs w:val="24"/>
          <w:lang w:eastAsia="bg-BG"/>
        </w:rPr>
        <w:t>. 4(6): 255-263</w:t>
      </w:r>
    </w:p>
    <w:p w:rsidR="00517D8B" w:rsidRPr="000C3750" w:rsidRDefault="00517D8B" w:rsidP="00517D8B">
      <w:pPr>
        <w:autoSpaceDE w:val="0"/>
        <w:autoSpaceDN w:val="0"/>
        <w:adjustRightInd w:val="0"/>
        <w:spacing w:after="0" w:line="360" w:lineRule="auto"/>
        <w:ind w:left="720" w:hanging="720"/>
        <w:jc w:val="both"/>
        <w:rPr>
          <w:w w:val="99"/>
          <w:szCs w:val="24"/>
        </w:rPr>
      </w:pPr>
      <w:r w:rsidRPr="000C3750">
        <w:rPr>
          <w:szCs w:val="24"/>
        </w:rPr>
        <w:t xml:space="preserve">Landon, </w:t>
      </w:r>
      <w:r w:rsidRPr="000C3750">
        <w:rPr>
          <w:spacing w:val="2"/>
          <w:szCs w:val="24"/>
        </w:rPr>
        <w:t>J</w:t>
      </w:r>
      <w:r w:rsidRPr="000C3750">
        <w:rPr>
          <w:szCs w:val="24"/>
        </w:rPr>
        <w:t>.R.L (1991). Booker tropical soil manual: A handbook for Soil Surv</w:t>
      </w:r>
      <w:r w:rsidRPr="000C3750">
        <w:rPr>
          <w:spacing w:val="1"/>
          <w:szCs w:val="24"/>
        </w:rPr>
        <w:t>e</w:t>
      </w:r>
      <w:r w:rsidRPr="000C3750">
        <w:rPr>
          <w:szCs w:val="24"/>
        </w:rPr>
        <w:t>y and Agr</w:t>
      </w:r>
      <w:r w:rsidRPr="000C3750">
        <w:rPr>
          <w:spacing w:val="1"/>
          <w:szCs w:val="24"/>
        </w:rPr>
        <w:t>i</w:t>
      </w:r>
      <w:r w:rsidRPr="000C3750">
        <w:rPr>
          <w:szCs w:val="24"/>
        </w:rPr>
        <w:t>cultural Lan</w:t>
      </w:r>
      <w:r w:rsidRPr="000C3750">
        <w:rPr>
          <w:spacing w:val="2"/>
          <w:szCs w:val="24"/>
        </w:rPr>
        <w:t xml:space="preserve">d </w:t>
      </w:r>
      <w:r w:rsidRPr="000C3750">
        <w:rPr>
          <w:szCs w:val="24"/>
        </w:rPr>
        <w:t>Eval</w:t>
      </w:r>
      <w:r w:rsidRPr="000C3750">
        <w:rPr>
          <w:spacing w:val="2"/>
          <w:szCs w:val="24"/>
        </w:rPr>
        <w:t>u</w:t>
      </w:r>
      <w:r w:rsidRPr="000C3750">
        <w:rPr>
          <w:szCs w:val="24"/>
        </w:rPr>
        <w:t>ation in the Tropics an</w:t>
      </w:r>
      <w:r w:rsidRPr="000C3750">
        <w:rPr>
          <w:spacing w:val="1"/>
          <w:szCs w:val="24"/>
        </w:rPr>
        <w:t xml:space="preserve">d </w:t>
      </w:r>
      <w:r w:rsidRPr="000C3750">
        <w:rPr>
          <w:szCs w:val="24"/>
        </w:rPr>
        <w:t>Subtropics</w:t>
      </w:r>
      <w:r w:rsidRPr="000C3750">
        <w:rPr>
          <w:spacing w:val="1"/>
          <w:szCs w:val="24"/>
        </w:rPr>
        <w:t xml:space="preserve">. </w:t>
      </w:r>
      <w:r w:rsidRPr="000C3750">
        <w:rPr>
          <w:szCs w:val="24"/>
        </w:rPr>
        <w:t>Lo</w:t>
      </w:r>
      <w:r w:rsidRPr="000C3750">
        <w:rPr>
          <w:spacing w:val="1"/>
          <w:szCs w:val="24"/>
        </w:rPr>
        <w:t>n</w:t>
      </w:r>
      <w:r w:rsidRPr="000C3750">
        <w:rPr>
          <w:szCs w:val="24"/>
        </w:rPr>
        <w:t>gman Scientific an</w:t>
      </w:r>
      <w:r w:rsidRPr="000C3750">
        <w:rPr>
          <w:spacing w:val="1"/>
          <w:szCs w:val="24"/>
        </w:rPr>
        <w:t xml:space="preserve">d </w:t>
      </w:r>
      <w:r w:rsidRPr="000C3750">
        <w:rPr>
          <w:szCs w:val="24"/>
        </w:rPr>
        <w:t>Techni</w:t>
      </w:r>
      <w:r w:rsidRPr="000C3750">
        <w:rPr>
          <w:spacing w:val="1"/>
          <w:szCs w:val="24"/>
        </w:rPr>
        <w:t>c</w:t>
      </w:r>
      <w:r w:rsidRPr="000C3750">
        <w:rPr>
          <w:szCs w:val="24"/>
        </w:rPr>
        <w:t>al, Essex, N</w:t>
      </w:r>
      <w:r w:rsidRPr="000C3750">
        <w:rPr>
          <w:spacing w:val="-1"/>
          <w:szCs w:val="24"/>
        </w:rPr>
        <w:t>e</w:t>
      </w:r>
      <w:r w:rsidRPr="000C3750">
        <w:rPr>
          <w:szCs w:val="24"/>
        </w:rPr>
        <w:t xml:space="preserve">w </w:t>
      </w:r>
      <w:r w:rsidRPr="000C3750">
        <w:rPr>
          <w:spacing w:val="-1"/>
          <w:szCs w:val="24"/>
        </w:rPr>
        <w:t>Y</w:t>
      </w:r>
      <w:r w:rsidRPr="000C3750">
        <w:rPr>
          <w:szCs w:val="24"/>
        </w:rPr>
        <w:t>o</w:t>
      </w:r>
      <w:r w:rsidRPr="000C3750">
        <w:rPr>
          <w:spacing w:val="-1"/>
          <w:szCs w:val="24"/>
        </w:rPr>
        <w:t>r</w:t>
      </w:r>
      <w:r w:rsidRPr="000C3750">
        <w:rPr>
          <w:szCs w:val="24"/>
        </w:rPr>
        <w:t>k</w:t>
      </w:r>
      <w:r w:rsidRPr="000C3750">
        <w:rPr>
          <w:w w:val="98"/>
          <w:szCs w:val="24"/>
        </w:rPr>
        <w:t>.</w:t>
      </w:r>
      <w:r w:rsidRPr="000C3750">
        <w:rPr>
          <w:w w:val="99"/>
          <w:szCs w:val="24"/>
        </w:rPr>
        <w:t>474p.</w:t>
      </w:r>
    </w:p>
    <w:p w:rsidR="00517D8B" w:rsidRPr="000C3750" w:rsidRDefault="00517D8B" w:rsidP="00517D8B">
      <w:pPr>
        <w:autoSpaceDE w:val="0"/>
        <w:autoSpaceDN w:val="0"/>
        <w:adjustRightInd w:val="0"/>
        <w:spacing w:after="0" w:line="360" w:lineRule="auto"/>
        <w:ind w:left="720" w:hanging="720"/>
        <w:jc w:val="both"/>
        <w:rPr>
          <w:szCs w:val="24"/>
        </w:rPr>
      </w:pPr>
      <w:r w:rsidRPr="000C3750">
        <w:rPr>
          <w:w w:val="99"/>
          <w:szCs w:val="24"/>
        </w:rPr>
        <w:t>SAS. (201</w:t>
      </w:r>
      <w:r w:rsidRPr="000C3750">
        <w:rPr>
          <w:spacing w:val="8"/>
          <w:w w:val="99"/>
          <w:szCs w:val="24"/>
        </w:rPr>
        <w:t>5)</w:t>
      </w:r>
      <w:r w:rsidRPr="000C3750">
        <w:rPr>
          <w:w w:val="98"/>
          <w:szCs w:val="24"/>
        </w:rPr>
        <w:t xml:space="preserve">. </w:t>
      </w:r>
      <w:r w:rsidRPr="000C3750">
        <w:rPr>
          <w:szCs w:val="24"/>
        </w:rPr>
        <w:t>SAS</w:t>
      </w:r>
      <w:r w:rsidRPr="000C3750">
        <w:rPr>
          <w:spacing w:val="-1"/>
          <w:szCs w:val="24"/>
        </w:rPr>
        <w:t>/</w:t>
      </w:r>
      <w:r w:rsidRPr="000C3750">
        <w:rPr>
          <w:szCs w:val="24"/>
        </w:rPr>
        <w:t>STA</w:t>
      </w:r>
      <w:r w:rsidRPr="000C3750">
        <w:rPr>
          <w:spacing w:val="-1"/>
          <w:szCs w:val="24"/>
        </w:rPr>
        <w:t>T</w:t>
      </w:r>
      <w:r w:rsidRPr="000C3750">
        <w:rPr>
          <w:szCs w:val="24"/>
        </w:rPr>
        <w:t xml:space="preserve"> Us</w:t>
      </w:r>
      <w:r w:rsidRPr="000C3750">
        <w:rPr>
          <w:spacing w:val="-1"/>
          <w:szCs w:val="24"/>
        </w:rPr>
        <w:t>e</w:t>
      </w:r>
      <w:r w:rsidRPr="000C3750">
        <w:rPr>
          <w:szCs w:val="24"/>
        </w:rPr>
        <w:t>r</w:t>
      </w:r>
      <w:r w:rsidRPr="000C3750">
        <w:rPr>
          <w:spacing w:val="-1"/>
          <w:szCs w:val="24"/>
        </w:rPr>
        <w:t>‘</w:t>
      </w:r>
      <w:r w:rsidRPr="000C3750">
        <w:rPr>
          <w:szCs w:val="24"/>
        </w:rPr>
        <w:t>s Guide, V</w:t>
      </w:r>
      <w:r w:rsidRPr="000C3750">
        <w:rPr>
          <w:spacing w:val="-1"/>
          <w:szCs w:val="24"/>
        </w:rPr>
        <w:t>e</w:t>
      </w:r>
      <w:r w:rsidRPr="000C3750">
        <w:rPr>
          <w:szCs w:val="24"/>
        </w:rPr>
        <w:t>rsion 9.4</w:t>
      </w:r>
      <w:r w:rsidRPr="000C3750">
        <w:rPr>
          <w:spacing w:val="1"/>
          <w:szCs w:val="24"/>
        </w:rPr>
        <w:t>.</w:t>
      </w:r>
      <w:r w:rsidRPr="000C3750">
        <w:rPr>
          <w:szCs w:val="24"/>
        </w:rPr>
        <w:t xml:space="preserve"> SAS institute </w:t>
      </w:r>
      <w:r w:rsidRPr="000C3750">
        <w:rPr>
          <w:spacing w:val="-1"/>
          <w:szCs w:val="24"/>
        </w:rPr>
        <w:t>I</w:t>
      </w:r>
      <w:r w:rsidRPr="000C3750">
        <w:rPr>
          <w:szCs w:val="24"/>
        </w:rPr>
        <w:t>nc., Car</w:t>
      </w:r>
      <w:r w:rsidRPr="000C3750">
        <w:rPr>
          <w:spacing w:val="-2"/>
          <w:szCs w:val="24"/>
        </w:rPr>
        <w:t>y</w:t>
      </w:r>
      <w:r w:rsidRPr="000C3750">
        <w:rPr>
          <w:szCs w:val="24"/>
        </w:rPr>
        <w:t>, and NC.USA.</w:t>
      </w:r>
    </w:p>
    <w:p w:rsidR="00517D8B" w:rsidRPr="000C3750" w:rsidRDefault="00517D8B" w:rsidP="00517D8B">
      <w:pPr>
        <w:spacing w:after="0" w:line="360" w:lineRule="auto"/>
        <w:ind w:left="720" w:hanging="720"/>
        <w:jc w:val="both"/>
      </w:pPr>
      <w:proofErr w:type="spellStart"/>
      <w:r w:rsidRPr="000C3750">
        <w:t>Shiferaw</w:t>
      </w:r>
      <w:proofErr w:type="spellEnd"/>
      <w:r w:rsidRPr="000C3750">
        <w:t xml:space="preserve"> B. and </w:t>
      </w:r>
      <w:proofErr w:type="spellStart"/>
      <w:r w:rsidRPr="000C3750">
        <w:t>Anteneh</w:t>
      </w:r>
      <w:proofErr w:type="spellEnd"/>
      <w:r w:rsidRPr="000C3750">
        <w:t xml:space="preserve"> F. (2014). Lime and NPK Effect on Soil Acidity and Yield of Barley in Different Acid Soils of Southern Region, </w:t>
      </w:r>
      <w:r w:rsidRPr="000C3750">
        <w:rPr>
          <w:i/>
        </w:rPr>
        <w:t>Ethiopia.</w:t>
      </w:r>
      <w:r w:rsidR="006A73F5" w:rsidRPr="000C3750">
        <w:rPr>
          <w:i/>
        </w:rPr>
        <w:t xml:space="preserve"> </w:t>
      </w:r>
      <w:r w:rsidRPr="000C3750">
        <w:rPr>
          <w:i/>
        </w:rPr>
        <w:t>International Journal of Natural Sciences Research</w:t>
      </w:r>
      <w:r w:rsidRPr="000C3750">
        <w:t>. 2014;2(7):113‒132.</w:t>
      </w:r>
    </w:p>
    <w:p w:rsidR="00517D8B" w:rsidRPr="000C3750" w:rsidRDefault="00517D8B" w:rsidP="00517D8B">
      <w:pPr>
        <w:spacing w:after="0" w:line="360" w:lineRule="auto"/>
        <w:ind w:left="720" w:hanging="720"/>
        <w:jc w:val="both"/>
      </w:pPr>
      <w:proofErr w:type="spellStart"/>
      <w:r w:rsidRPr="000C3750">
        <w:rPr>
          <w:szCs w:val="24"/>
        </w:rPr>
        <w:t>Shiferaw</w:t>
      </w:r>
      <w:proofErr w:type="spellEnd"/>
      <w:r w:rsidRPr="000C3750">
        <w:rPr>
          <w:szCs w:val="24"/>
        </w:rPr>
        <w:t xml:space="preserve">, B. </w:t>
      </w:r>
      <w:proofErr w:type="spellStart"/>
      <w:r w:rsidRPr="000C3750">
        <w:rPr>
          <w:szCs w:val="24"/>
        </w:rPr>
        <w:t>andAnteneh</w:t>
      </w:r>
      <w:proofErr w:type="spellEnd"/>
      <w:r w:rsidRPr="000C3750">
        <w:rPr>
          <w:szCs w:val="24"/>
        </w:rPr>
        <w:t xml:space="preserve">, F. (2014). </w:t>
      </w:r>
      <w:r w:rsidRPr="000C3750">
        <w:rPr>
          <w:bCs/>
          <w:szCs w:val="24"/>
        </w:rPr>
        <w:t xml:space="preserve">Lime and NPK effect on soil acidity and yield of barley in different acid soils of southern region, Ethiopia. </w:t>
      </w:r>
      <w:r w:rsidRPr="000C3750">
        <w:rPr>
          <w:bCs/>
          <w:i/>
          <w:szCs w:val="24"/>
        </w:rPr>
        <w:t xml:space="preserve">Int. J. Nat. </w:t>
      </w:r>
      <w:proofErr w:type="spellStart"/>
      <w:r w:rsidRPr="000C3750">
        <w:rPr>
          <w:bCs/>
          <w:i/>
          <w:szCs w:val="24"/>
        </w:rPr>
        <w:t>Scie</w:t>
      </w:r>
      <w:proofErr w:type="spellEnd"/>
      <w:r w:rsidRPr="000C3750">
        <w:rPr>
          <w:bCs/>
          <w:i/>
          <w:szCs w:val="24"/>
        </w:rPr>
        <w:t>. Res</w:t>
      </w:r>
      <w:r w:rsidRPr="000C3750">
        <w:rPr>
          <w:bCs/>
          <w:szCs w:val="24"/>
        </w:rPr>
        <w:t>., 2(7), 113-122.</w:t>
      </w:r>
    </w:p>
    <w:p w:rsidR="00517D8B" w:rsidRPr="000C3750" w:rsidRDefault="00517D8B" w:rsidP="00517D8B">
      <w:pPr>
        <w:autoSpaceDE w:val="0"/>
        <w:autoSpaceDN w:val="0"/>
        <w:adjustRightInd w:val="0"/>
        <w:spacing w:after="0" w:line="360" w:lineRule="auto"/>
        <w:ind w:left="720" w:hanging="720"/>
        <w:jc w:val="both"/>
        <w:rPr>
          <w:rStyle w:val="A7"/>
          <w:rFonts w:cs="Times New Roman"/>
          <w:color w:val="auto"/>
          <w:sz w:val="24"/>
          <w:szCs w:val="24"/>
        </w:rPr>
      </w:pPr>
      <w:proofErr w:type="spellStart"/>
      <w:r w:rsidRPr="000C3750">
        <w:rPr>
          <w:rStyle w:val="A7"/>
          <w:rFonts w:cs="Times New Roman"/>
          <w:color w:val="auto"/>
          <w:sz w:val="24"/>
          <w:szCs w:val="24"/>
        </w:rPr>
        <w:t>Tadesse</w:t>
      </w:r>
      <w:proofErr w:type="spellEnd"/>
      <w:r w:rsidRPr="000C3750">
        <w:rPr>
          <w:rStyle w:val="A7"/>
          <w:rFonts w:cs="Times New Roman"/>
          <w:color w:val="auto"/>
          <w:sz w:val="24"/>
          <w:szCs w:val="24"/>
        </w:rPr>
        <w:t xml:space="preserve">, M., </w:t>
      </w:r>
      <w:proofErr w:type="spellStart"/>
      <w:r w:rsidRPr="000C3750">
        <w:rPr>
          <w:rStyle w:val="A7"/>
          <w:rFonts w:cs="Times New Roman"/>
          <w:color w:val="auto"/>
          <w:sz w:val="24"/>
          <w:szCs w:val="24"/>
        </w:rPr>
        <w:t>Asmare</w:t>
      </w:r>
      <w:proofErr w:type="spellEnd"/>
      <w:r w:rsidRPr="000C3750">
        <w:rPr>
          <w:rStyle w:val="A7"/>
          <w:rFonts w:cs="Times New Roman"/>
          <w:color w:val="auto"/>
          <w:sz w:val="24"/>
          <w:szCs w:val="24"/>
        </w:rPr>
        <w:t xml:space="preserve">, M., and </w:t>
      </w:r>
      <w:proofErr w:type="spellStart"/>
      <w:r w:rsidRPr="000C3750">
        <w:rPr>
          <w:rStyle w:val="A7"/>
          <w:rFonts w:cs="Times New Roman"/>
          <w:color w:val="auto"/>
          <w:sz w:val="24"/>
          <w:szCs w:val="24"/>
        </w:rPr>
        <w:t>Girma</w:t>
      </w:r>
      <w:proofErr w:type="spellEnd"/>
      <w:r w:rsidRPr="000C3750">
        <w:rPr>
          <w:rStyle w:val="A7"/>
          <w:rFonts w:cs="Times New Roman"/>
          <w:color w:val="auto"/>
          <w:sz w:val="24"/>
          <w:szCs w:val="24"/>
        </w:rPr>
        <w:t>, T. (2018). Effects of lime and phosphorus fertilizer levels on growth and yield components of malt barley (</w:t>
      </w:r>
      <w:proofErr w:type="spellStart"/>
      <w:r w:rsidRPr="000C3750">
        <w:rPr>
          <w:rStyle w:val="A7"/>
          <w:rFonts w:cs="Times New Roman"/>
          <w:i/>
          <w:color w:val="auto"/>
          <w:sz w:val="24"/>
          <w:szCs w:val="24"/>
        </w:rPr>
        <w:t>Hordeum</w:t>
      </w:r>
      <w:proofErr w:type="spellEnd"/>
      <w:r w:rsidR="006A73F5" w:rsidRPr="000C3750">
        <w:rPr>
          <w:rStyle w:val="A7"/>
          <w:rFonts w:cs="Times New Roman"/>
          <w:i/>
          <w:color w:val="auto"/>
          <w:sz w:val="24"/>
          <w:szCs w:val="24"/>
        </w:rPr>
        <w:t xml:space="preserve"> </w:t>
      </w:r>
      <w:proofErr w:type="spellStart"/>
      <w:r w:rsidRPr="000C3750">
        <w:rPr>
          <w:rStyle w:val="A7"/>
          <w:rFonts w:cs="Times New Roman"/>
          <w:i/>
          <w:color w:val="auto"/>
          <w:sz w:val="24"/>
          <w:szCs w:val="24"/>
        </w:rPr>
        <w:t>distichum</w:t>
      </w:r>
      <w:proofErr w:type="spellEnd"/>
      <w:r w:rsidRPr="000C3750">
        <w:rPr>
          <w:rStyle w:val="A7"/>
          <w:rFonts w:cs="Times New Roman"/>
          <w:color w:val="auto"/>
          <w:sz w:val="24"/>
          <w:szCs w:val="24"/>
        </w:rPr>
        <w:t xml:space="preserve"> L.) in </w:t>
      </w:r>
      <w:proofErr w:type="spellStart"/>
      <w:r w:rsidRPr="000C3750">
        <w:rPr>
          <w:rStyle w:val="A7"/>
          <w:rFonts w:cs="Times New Roman"/>
          <w:color w:val="auto"/>
          <w:sz w:val="24"/>
          <w:szCs w:val="24"/>
        </w:rPr>
        <w:t>AngolelanaTera</w:t>
      </w:r>
      <w:proofErr w:type="spellEnd"/>
      <w:r w:rsidRPr="000C3750">
        <w:rPr>
          <w:rStyle w:val="A7"/>
          <w:rFonts w:cs="Times New Roman"/>
          <w:color w:val="auto"/>
          <w:sz w:val="24"/>
          <w:szCs w:val="24"/>
        </w:rPr>
        <w:t xml:space="preserve"> District, North </w:t>
      </w:r>
      <w:proofErr w:type="spellStart"/>
      <w:r w:rsidRPr="000C3750">
        <w:rPr>
          <w:rStyle w:val="A7"/>
          <w:rFonts w:cs="Times New Roman"/>
          <w:color w:val="auto"/>
          <w:sz w:val="24"/>
          <w:szCs w:val="24"/>
        </w:rPr>
        <w:t>Shewa</w:t>
      </w:r>
      <w:proofErr w:type="spellEnd"/>
      <w:r w:rsidRPr="000C3750">
        <w:rPr>
          <w:rStyle w:val="A7"/>
          <w:rFonts w:cs="Times New Roman"/>
          <w:color w:val="auto"/>
          <w:sz w:val="24"/>
          <w:szCs w:val="24"/>
        </w:rPr>
        <w:t xml:space="preserve"> Zone, Ethiopia. </w:t>
      </w:r>
      <w:r w:rsidRPr="000C3750">
        <w:rPr>
          <w:rStyle w:val="A7"/>
          <w:rFonts w:cs="Times New Roman"/>
          <w:i/>
          <w:color w:val="auto"/>
          <w:sz w:val="24"/>
          <w:szCs w:val="24"/>
        </w:rPr>
        <w:t>Adv. in Plant and Agric. Res</w:t>
      </w:r>
      <w:r w:rsidRPr="000C3750">
        <w:rPr>
          <w:rStyle w:val="A7"/>
          <w:rFonts w:cs="Times New Roman"/>
          <w:color w:val="auto"/>
          <w:sz w:val="24"/>
          <w:szCs w:val="24"/>
        </w:rPr>
        <w:t>., 8 (6), 582-589.</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Taye</w:t>
      </w:r>
      <w:proofErr w:type="spellEnd"/>
      <w:r w:rsidRPr="000C3750">
        <w:rPr>
          <w:szCs w:val="24"/>
        </w:rPr>
        <w:t xml:space="preserve">, B., and </w:t>
      </w:r>
      <w:proofErr w:type="spellStart"/>
      <w:r w:rsidRPr="000C3750">
        <w:rPr>
          <w:szCs w:val="24"/>
        </w:rPr>
        <w:t>Höfner</w:t>
      </w:r>
      <w:proofErr w:type="spellEnd"/>
      <w:r w:rsidRPr="000C3750">
        <w:rPr>
          <w:szCs w:val="24"/>
        </w:rPr>
        <w:t>, W. (1993). Effects of different phosphate fertilizers on yield of barley and rapeseed on reddish-brown soils of the Ethiopian highlands.</w:t>
      </w:r>
      <w:r w:rsidR="006A73F5" w:rsidRPr="000C3750">
        <w:rPr>
          <w:szCs w:val="24"/>
        </w:rPr>
        <w:t xml:space="preserve"> </w:t>
      </w:r>
      <w:r w:rsidRPr="000C3750">
        <w:rPr>
          <w:iCs/>
          <w:szCs w:val="24"/>
        </w:rPr>
        <w:t>Fertilizer Research.</w:t>
      </w:r>
      <w:r w:rsidRPr="000C3750">
        <w:rPr>
          <w:szCs w:val="24"/>
        </w:rPr>
        <w:t>34, 243–250.</w:t>
      </w:r>
    </w:p>
    <w:p w:rsidR="00517D8B" w:rsidRPr="000C3750" w:rsidRDefault="00517D8B" w:rsidP="00517D8B">
      <w:pPr>
        <w:autoSpaceDE w:val="0"/>
        <w:autoSpaceDN w:val="0"/>
        <w:adjustRightInd w:val="0"/>
        <w:spacing w:after="0" w:line="360" w:lineRule="auto"/>
        <w:ind w:left="720" w:hanging="720"/>
        <w:jc w:val="both"/>
        <w:rPr>
          <w:bCs/>
          <w:szCs w:val="24"/>
        </w:rPr>
      </w:pPr>
      <w:proofErr w:type="spellStart"/>
      <w:r w:rsidRPr="000C3750">
        <w:rPr>
          <w:bCs/>
          <w:szCs w:val="24"/>
        </w:rPr>
        <w:t>Taye</w:t>
      </w:r>
      <w:proofErr w:type="spellEnd"/>
      <w:r w:rsidRPr="000C3750">
        <w:rPr>
          <w:bCs/>
          <w:szCs w:val="24"/>
        </w:rPr>
        <w:t xml:space="preserve">, B., </w:t>
      </w:r>
      <w:proofErr w:type="spellStart"/>
      <w:r w:rsidRPr="000C3750">
        <w:rPr>
          <w:bCs/>
          <w:szCs w:val="24"/>
        </w:rPr>
        <w:t>Yeshanew</w:t>
      </w:r>
      <w:proofErr w:type="spellEnd"/>
      <w:r w:rsidRPr="000C3750">
        <w:rPr>
          <w:bCs/>
          <w:szCs w:val="24"/>
        </w:rPr>
        <w:t xml:space="preserve">, A., </w:t>
      </w:r>
      <w:proofErr w:type="spellStart"/>
      <w:r w:rsidRPr="000C3750">
        <w:rPr>
          <w:bCs/>
          <w:szCs w:val="24"/>
        </w:rPr>
        <w:t>Balesh</w:t>
      </w:r>
      <w:proofErr w:type="spellEnd"/>
      <w:r w:rsidRPr="000C3750">
        <w:rPr>
          <w:bCs/>
          <w:szCs w:val="24"/>
        </w:rPr>
        <w:t xml:space="preserve">, T and </w:t>
      </w:r>
      <w:proofErr w:type="spellStart"/>
      <w:r w:rsidRPr="000C3750">
        <w:rPr>
          <w:bCs/>
          <w:szCs w:val="24"/>
        </w:rPr>
        <w:t>Girma</w:t>
      </w:r>
      <w:proofErr w:type="spellEnd"/>
      <w:r w:rsidRPr="000C3750">
        <w:rPr>
          <w:bCs/>
          <w:szCs w:val="24"/>
        </w:rPr>
        <w:t>, G. (1996). Soil Fertility Management in Barley</w:t>
      </w:r>
      <w:r w:rsidRPr="000C3750">
        <w:rPr>
          <w:szCs w:val="24"/>
        </w:rPr>
        <w:t xml:space="preserve">. </w:t>
      </w:r>
      <w:r w:rsidRPr="000C3750">
        <w:rPr>
          <w:b/>
          <w:szCs w:val="24"/>
        </w:rPr>
        <w:t>In</w:t>
      </w:r>
      <w:r w:rsidRPr="000C3750">
        <w:rPr>
          <w:szCs w:val="24"/>
        </w:rPr>
        <w:t xml:space="preserve">: </w:t>
      </w:r>
      <w:proofErr w:type="spellStart"/>
      <w:r w:rsidRPr="000C3750">
        <w:rPr>
          <w:bCs/>
          <w:szCs w:val="24"/>
        </w:rPr>
        <w:t>HailuGebre</w:t>
      </w:r>
      <w:proofErr w:type="spellEnd"/>
      <w:r w:rsidRPr="000C3750">
        <w:rPr>
          <w:bCs/>
          <w:szCs w:val="24"/>
        </w:rPr>
        <w:t xml:space="preserve"> and </w:t>
      </w:r>
      <w:proofErr w:type="spellStart"/>
      <w:r w:rsidRPr="000C3750">
        <w:rPr>
          <w:bCs/>
          <w:szCs w:val="24"/>
        </w:rPr>
        <w:t>Joop</w:t>
      </w:r>
      <w:proofErr w:type="spellEnd"/>
      <w:r w:rsidRPr="000C3750">
        <w:rPr>
          <w:bCs/>
          <w:szCs w:val="24"/>
        </w:rPr>
        <w:t xml:space="preserve"> van </w:t>
      </w:r>
      <w:proofErr w:type="spellStart"/>
      <w:r w:rsidRPr="000C3750">
        <w:rPr>
          <w:bCs/>
          <w:szCs w:val="24"/>
        </w:rPr>
        <w:t>Leur</w:t>
      </w:r>
      <w:proofErr w:type="spellEnd"/>
      <w:r w:rsidRPr="000C3750">
        <w:rPr>
          <w:bCs/>
          <w:szCs w:val="24"/>
        </w:rPr>
        <w:t xml:space="preserve"> (</w:t>
      </w:r>
      <w:proofErr w:type="spellStart"/>
      <w:r w:rsidRPr="000C3750">
        <w:rPr>
          <w:bCs/>
          <w:szCs w:val="24"/>
        </w:rPr>
        <w:t>eds</w:t>
      </w:r>
      <w:proofErr w:type="spellEnd"/>
      <w:r w:rsidRPr="000C3750">
        <w:rPr>
          <w:bCs/>
          <w:szCs w:val="24"/>
        </w:rPr>
        <w:t>). (1996). Barley Research in Ethiopia: Past Work and Future prospects. Proceedings of the First Barley Research Review Workshop, 16-19 October 1993, Addis Ababa: IAR/ICARDA. Addis Ababa, Ethiopia.</w:t>
      </w:r>
    </w:p>
    <w:p w:rsidR="00173ED2" w:rsidRPr="000C3750" w:rsidRDefault="00173ED2" w:rsidP="00173ED2">
      <w:pPr>
        <w:pStyle w:val="BodyTextIndent"/>
        <w:rPr>
          <w:rFonts w:eastAsia="TimesNewRoman"/>
          <w:szCs w:val="22"/>
        </w:rPr>
      </w:pPr>
      <w:proofErr w:type="spellStart"/>
      <w:r w:rsidRPr="000C3750">
        <w:rPr>
          <w:rFonts w:eastAsia="TimesNewRoman"/>
          <w:szCs w:val="22"/>
        </w:rPr>
        <w:t>Taye</w:t>
      </w:r>
      <w:proofErr w:type="spellEnd"/>
      <w:r w:rsidRPr="000C3750">
        <w:rPr>
          <w:rFonts w:eastAsia="TimesNewRoman"/>
          <w:szCs w:val="22"/>
        </w:rPr>
        <w:t xml:space="preserve"> </w:t>
      </w:r>
      <w:proofErr w:type="spellStart"/>
      <w:r w:rsidRPr="000C3750">
        <w:rPr>
          <w:rFonts w:eastAsia="TimesNewRoman"/>
          <w:szCs w:val="22"/>
        </w:rPr>
        <w:t>Bekele</w:t>
      </w:r>
      <w:proofErr w:type="spellEnd"/>
      <w:r w:rsidRPr="000C3750">
        <w:rPr>
          <w:rFonts w:eastAsia="TimesNewRoman"/>
          <w:szCs w:val="22"/>
        </w:rPr>
        <w:t xml:space="preserve">, </w:t>
      </w:r>
      <w:proofErr w:type="spellStart"/>
      <w:r w:rsidRPr="000C3750">
        <w:rPr>
          <w:rFonts w:eastAsia="TimesNewRoman"/>
          <w:szCs w:val="22"/>
        </w:rPr>
        <w:t>Yesuf</w:t>
      </w:r>
      <w:proofErr w:type="spellEnd"/>
      <w:r w:rsidRPr="000C3750">
        <w:rPr>
          <w:rFonts w:eastAsia="TimesNewRoman"/>
          <w:szCs w:val="22"/>
        </w:rPr>
        <w:t xml:space="preserve"> </w:t>
      </w:r>
      <w:proofErr w:type="spellStart"/>
      <w:r w:rsidRPr="000C3750">
        <w:rPr>
          <w:rFonts w:eastAsia="TimesNewRoman"/>
          <w:szCs w:val="22"/>
        </w:rPr>
        <w:t>Assen</w:t>
      </w:r>
      <w:proofErr w:type="spellEnd"/>
      <w:r w:rsidRPr="000C3750">
        <w:rPr>
          <w:rFonts w:eastAsia="TimesNewRoman"/>
          <w:szCs w:val="22"/>
        </w:rPr>
        <w:t xml:space="preserve">, </w:t>
      </w:r>
      <w:proofErr w:type="spellStart"/>
      <w:r w:rsidRPr="000C3750">
        <w:rPr>
          <w:rFonts w:eastAsia="TimesNewRoman"/>
          <w:szCs w:val="22"/>
        </w:rPr>
        <w:t>Sahlemedhin</w:t>
      </w:r>
      <w:proofErr w:type="spellEnd"/>
      <w:r w:rsidRPr="000C3750">
        <w:rPr>
          <w:rFonts w:eastAsia="TimesNewRoman"/>
          <w:szCs w:val="22"/>
        </w:rPr>
        <w:t xml:space="preserve"> </w:t>
      </w:r>
      <w:proofErr w:type="spellStart"/>
      <w:r w:rsidRPr="000C3750">
        <w:rPr>
          <w:rFonts w:eastAsia="TimesNewRoman"/>
          <w:szCs w:val="22"/>
        </w:rPr>
        <w:t>Sertsu</w:t>
      </w:r>
      <w:proofErr w:type="spellEnd"/>
      <w:r w:rsidRPr="000C3750">
        <w:rPr>
          <w:rFonts w:eastAsia="TimesNewRoman"/>
          <w:szCs w:val="22"/>
        </w:rPr>
        <w:t xml:space="preserve">, </w:t>
      </w:r>
      <w:proofErr w:type="spellStart"/>
      <w:r w:rsidRPr="000C3750">
        <w:rPr>
          <w:rFonts w:eastAsia="TimesNewRoman"/>
          <w:szCs w:val="22"/>
        </w:rPr>
        <w:t>Amanuel</w:t>
      </w:r>
      <w:proofErr w:type="spellEnd"/>
      <w:r w:rsidRPr="000C3750">
        <w:rPr>
          <w:rFonts w:eastAsia="TimesNewRoman"/>
          <w:szCs w:val="22"/>
        </w:rPr>
        <w:t xml:space="preserve"> </w:t>
      </w:r>
      <w:proofErr w:type="spellStart"/>
      <w:r w:rsidRPr="000C3750">
        <w:rPr>
          <w:rFonts w:eastAsia="TimesNewRoman"/>
          <w:szCs w:val="22"/>
        </w:rPr>
        <w:t>Gorfu</w:t>
      </w:r>
      <w:proofErr w:type="spellEnd"/>
      <w:r w:rsidRPr="000C3750">
        <w:rPr>
          <w:rFonts w:eastAsia="TimesNewRoman"/>
          <w:szCs w:val="22"/>
        </w:rPr>
        <w:t xml:space="preserve">, Mohammed </w:t>
      </w:r>
      <w:proofErr w:type="spellStart"/>
      <w:r w:rsidRPr="000C3750">
        <w:rPr>
          <w:rFonts w:eastAsia="TimesNewRoman"/>
          <w:szCs w:val="22"/>
        </w:rPr>
        <w:t>Hassena</w:t>
      </w:r>
      <w:proofErr w:type="spellEnd"/>
      <w:r w:rsidRPr="000C3750">
        <w:rPr>
          <w:rFonts w:eastAsia="TimesNewRoman"/>
          <w:szCs w:val="22"/>
        </w:rPr>
        <w:t xml:space="preserve">, D.G. Tanner, </w:t>
      </w:r>
      <w:proofErr w:type="spellStart"/>
      <w:r w:rsidRPr="000C3750">
        <w:rPr>
          <w:rFonts w:eastAsia="TimesNewRoman"/>
          <w:szCs w:val="22"/>
        </w:rPr>
        <w:t>Tesfaye</w:t>
      </w:r>
      <w:proofErr w:type="spellEnd"/>
      <w:r w:rsidRPr="000C3750">
        <w:rPr>
          <w:rFonts w:eastAsia="TimesNewRoman"/>
          <w:szCs w:val="22"/>
        </w:rPr>
        <w:t xml:space="preserve"> </w:t>
      </w:r>
      <w:proofErr w:type="spellStart"/>
      <w:r w:rsidRPr="000C3750">
        <w:rPr>
          <w:rFonts w:eastAsia="TimesNewRoman"/>
          <w:szCs w:val="22"/>
        </w:rPr>
        <w:t>Tesemma</w:t>
      </w:r>
      <w:proofErr w:type="spellEnd"/>
      <w:r w:rsidRPr="000C3750">
        <w:rPr>
          <w:rFonts w:eastAsia="TimesNewRoman"/>
          <w:szCs w:val="22"/>
        </w:rPr>
        <w:t xml:space="preserve">, and </w:t>
      </w:r>
      <w:proofErr w:type="spellStart"/>
      <w:r w:rsidRPr="000C3750">
        <w:rPr>
          <w:rFonts w:eastAsia="TimesNewRoman"/>
          <w:szCs w:val="22"/>
        </w:rPr>
        <w:t>Takele</w:t>
      </w:r>
      <w:proofErr w:type="spellEnd"/>
      <w:r w:rsidRPr="000C3750">
        <w:rPr>
          <w:rFonts w:eastAsia="TimesNewRoman"/>
          <w:szCs w:val="22"/>
        </w:rPr>
        <w:t xml:space="preserve"> </w:t>
      </w:r>
      <w:proofErr w:type="spellStart"/>
      <w:r w:rsidRPr="000C3750">
        <w:rPr>
          <w:rFonts w:eastAsia="TimesNewRoman"/>
          <w:szCs w:val="22"/>
        </w:rPr>
        <w:t>Gebre</w:t>
      </w:r>
      <w:proofErr w:type="spellEnd"/>
      <w:r w:rsidRPr="000C3750">
        <w:rPr>
          <w:rFonts w:eastAsia="TimesNewRoman"/>
          <w:szCs w:val="22"/>
        </w:rPr>
        <w:t xml:space="preserve">. 2002. Optimizing fertilizer use in </w:t>
      </w:r>
      <w:smartTag w:uri="urn:schemas-microsoft-com:office:smarttags" w:element="place">
        <w:smartTag w:uri="urn:schemas-microsoft-com:office:smarttags" w:element="country-region">
          <w:r>
            <w:rPr>
              <w:rFonts w:eastAsia="TimesNewRoman"/>
              <w:szCs w:val="22"/>
            </w:rPr>
            <w:t>Ethiopia</w:t>
          </w:r>
        </w:smartTag>
      </w:smartTag>
      <w:r w:rsidRPr="000C3750">
        <w:rPr>
          <w:rFonts w:eastAsia="TimesNewRoman"/>
          <w:szCs w:val="22"/>
        </w:rPr>
        <w:t xml:space="preserve">: Correlation of soil analysis with fertilizer response in </w:t>
      </w:r>
      <w:proofErr w:type="spellStart"/>
      <w:smartTag w:uri="urn:schemas-microsoft-com:office:smarttags" w:element="PersonName">
        <w:smartTag w:uri="urn:schemas:contacts" w:element="GivenName">
          <w:r>
            <w:rPr>
              <w:rFonts w:eastAsia="TimesNewRoman"/>
              <w:szCs w:val="22"/>
            </w:rPr>
            <w:t>Hetosa</w:t>
          </w:r>
        </w:smartTag>
        <w:proofErr w:type="spellEnd"/>
        <w:r>
          <w:rPr>
            <w:rFonts w:eastAsia="TimesNewRoman"/>
            <w:szCs w:val="22"/>
          </w:rPr>
          <w:t xml:space="preserve"> </w:t>
        </w:r>
        <w:proofErr w:type="spellStart"/>
        <w:smartTag w:uri="urn:schemas:contacts" w:element="Sn">
          <w:r>
            <w:rPr>
              <w:rFonts w:eastAsia="TimesNewRoman"/>
              <w:szCs w:val="22"/>
            </w:rPr>
            <w:t>Wereda</w:t>
          </w:r>
        </w:smartTag>
      </w:smartTag>
      <w:proofErr w:type="spellEnd"/>
      <w:r w:rsidRPr="000C3750">
        <w:rPr>
          <w:rFonts w:eastAsia="TimesNewRoman"/>
          <w:szCs w:val="22"/>
        </w:rPr>
        <w:t xml:space="preserve">, </w:t>
      </w:r>
      <w:proofErr w:type="spellStart"/>
      <w:r w:rsidRPr="000C3750">
        <w:rPr>
          <w:rFonts w:eastAsia="TimesNewRoman"/>
          <w:szCs w:val="22"/>
        </w:rPr>
        <w:t>Arsi</w:t>
      </w:r>
      <w:proofErr w:type="spellEnd"/>
      <w:r w:rsidRPr="000C3750">
        <w:rPr>
          <w:rFonts w:eastAsia="TimesNewRoman"/>
          <w:szCs w:val="22"/>
        </w:rPr>
        <w:t xml:space="preserve"> Zone. </w:t>
      </w:r>
      <w:smartTag w:uri="urn:schemas-microsoft-com:office:smarttags" w:element="place">
        <w:smartTag w:uri="urn:schemas-microsoft-com:office:smarttags" w:element="City">
          <w:r>
            <w:rPr>
              <w:rFonts w:eastAsia="TimesNewRoman"/>
              <w:szCs w:val="22"/>
            </w:rPr>
            <w:t>Addis Ababa</w:t>
          </w:r>
        </w:smartTag>
      </w:smartTag>
      <w:r w:rsidRPr="000C3750">
        <w:rPr>
          <w:rFonts w:eastAsia="TimesNewRoman"/>
          <w:szCs w:val="22"/>
        </w:rPr>
        <w:t xml:space="preserve">: </w:t>
      </w:r>
      <w:proofErr w:type="spellStart"/>
      <w:r w:rsidRPr="000C3750">
        <w:rPr>
          <w:rFonts w:eastAsia="TimesNewRoman"/>
          <w:szCs w:val="22"/>
        </w:rPr>
        <w:t>Sasakawa</w:t>
      </w:r>
      <w:proofErr w:type="spellEnd"/>
      <w:r w:rsidRPr="000C3750">
        <w:rPr>
          <w:rFonts w:eastAsia="TimesNewRoman"/>
          <w:szCs w:val="22"/>
        </w:rPr>
        <w:t>-Global 2000.</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T</w:t>
      </w:r>
      <w:r w:rsidRPr="000C3750">
        <w:rPr>
          <w:spacing w:val="-1"/>
          <w:szCs w:val="24"/>
        </w:rPr>
        <w:t>e</w:t>
      </w:r>
      <w:r w:rsidRPr="000C3750">
        <w:rPr>
          <w:szCs w:val="24"/>
        </w:rPr>
        <w:t>k</w:t>
      </w:r>
      <w:r w:rsidRPr="000C3750">
        <w:rPr>
          <w:spacing w:val="-1"/>
          <w:szCs w:val="24"/>
        </w:rPr>
        <w:t>a</w:t>
      </w:r>
      <w:r w:rsidRPr="000C3750">
        <w:rPr>
          <w:szCs w:val="24"/>
        </w:rPr>
        <w:t>li</w:t>
      </w:r>
      <w:r w:rsidRPr="000C3750">
        <w:rPr>
          <w:spacing w:val="-3"/>
          <w:szCs w:val="24"/>
        </w:rPr>
        <w:t>g</w:t>
      </w:r>
      <w:r w:rsidRPr="000C3750">
        <w:rPr>
          <w:szCs w:val="24"/>
        </w:rPr>
        <w:t>n</w:t>
      </w:r>
      <w:proofErr w:type="spellEnd"/>
      <w:r w:rsidR="007948E9" w:rsidRPr="000C3750">
        <w:rPr>
          <w:szCs w:val="24"/>
        </w:rPr>
        <w:t xml:space="preserve"> </w:t>
      </w:r>
      <w:proofErr w:type="spellStart"/>
      <w:r w:rsidRPr="000C3750">
        <w:rPr>
          <w:szCs w:val="24"/>
        </w:rPr>
        <w:t>Tadesse</w:t>
      </w:r>
      <w:proofErr w:type="spellEnd"/>
      <w:r w:rsidRPr="000C3750">
        <w:rPr>
          <w:szCs w:val="24"/>
        </w:rPr>
        <w:t xml:space="preserve"> (1991). Soil, </w:t>
      </w:r>
      <w:r w:rsidRPr="000C3750">
        <w:rPr>
          <w:w w:val="99"/>
          <w:szCs w:val="24"/>
        </w:rPr>
        <w:t>plant</w:t>
      </w:r>
      <w:r w:rsidRPr="000C3750">
        <w:rPr>
          <w:spacing w:val="4"/>
          <w:w w:val="99"/>
          <w:szCs w:val="24"/>
        </w:rPr>
        <w:t xml:space="preserve">, </w:t>
      </w:r>
      <w:r w:rsidRPr="000C3750">
        <w:rPr>
          <w:szCs w:val="24"/>
        </w:rPr>
        <w:t>w</w:t>
      </w:r>
      <w:r w:rsidRPr="000C3750">
        <w:rPr>
          <w:spacing w:val="-1"/>
          <w:szCs w:val="24"/>
        </w:rPr>
        <w:t>a</w:t>
      </w:r>
      <w:r w:rsidRPr="000C3750">
        <w:rPr>
          <w:szCs w:val="24"/>
        </w:rPr>
        <w:t>te</w:t>
      </w:r>
      <w:r w:rsidRPr="000C3750">
        <w:rPr>
          <w:spacing w:val="-2"/>
          <w:szCs w:val="24"/>
        </w:rPr>
        <w:t>r</w:t>
      </w:r>
      <w:r w:rsidRPr="000C3750">
        <w:rPr>
          <w:szCs w:val="24"/>
        </w:rPr>
        <w:t>, f</w:t>
      </w:r>
      <w:r w:rsidRPr="000C3750">
        <w:rPr>
          <w:spacing w:val="-1"/>
          <w:szCs w:val="24"/>
        </w:rPr>
        <w:t>e</w:t>
      </w:r>
      <w:r w:rsidRPr="000C3750">
        <w:rPr>
          <w:szCs w:val="24"/>
        </w:rPr>
        <w:t>rtiliz</w:t>
      </w:r>
      <w:r w:rsidRPr="000C3750">
        <w:rPr>
          <w:spacing w:val="-1"/>
          <w:szCs w:val="24"/>
        </w:rPr>
        <w:t>e</w:t>
      </w:r>
      <w:r w:rsidRPr="000C3750">
        <w:rPr>
          <w:szCs w:val="24"/>
        </w:rPr>
        <w:t xml:space="preserve">r, </w:t>
      </w:r>
      <w:r w:rsidRPr="000C3750">
        <w:rPr>
          <w:spacing w:val="-1"/>
          <w:szCs w:val="24"/>
        </w:rPr>
        <w:t>a</w:t>
      </w:r>
      <w:r w:rsidRPr="000C3750">
        <w:rPr>
          <w:szCs w:val="24"/>
        </w:rPr>
        <w:t>nim</w:t>
      </w:r>
      <w:r w:rsidRPr="000C3750">
        <w:rPr>
          <w:spacing w:val="-2"/>
          <w:szCs w:val="24"/>
        </w:rPr>
        <w:t>a</w:t>
      </w:r>
      <w:r w:rsidRPr="000C3750">
        <w:rPr>
          <w:szCs w:val="24"/>
        </w:rPr>
        <w:t>l manu</w:t>
      </w:r>
      <w:r w:rsidRPr="000C3750">
        <w:rPr>
          <w:spacing w:val="-2"/>
          <w:szCs w:val="24"/>
        </w:rPr>
        <w:t>r</w:t>
      </w:r>
      <w:r w:rsidRPr="000C3750">
        <w:rPr>
          <w:szCs w:val="24"/>
        </w:rPr>
        <w:t xml:space="preserve">e </w:t>
      </w:r>
      <w:r w:rsidRPr="000C3750">
        <w:rPr>
          <w:spacing w:val="-2"/>
          <w:szCs w:val="24"/>
        </w:rPr>
        <w:t>a</w:t>
      </w:r>
      <w:r w:rsidRPr="000C3750">
        <w:rPr>
          <w:szCs w:val="24"/>
        </w:rPr>
        <w:t xml:space="preserve">nd </w:t>
      </w:r>
      <w:r w:rsidRPr="000C3750">
        <w:rPr>
          <w:spacing w:val="-2"/>
          <w:szCs w:val="24"/>
        </w:rPr>
        <w:t>c</w:t>
      </w:r>
      <w:r w:rsidRPr="000C3750">
        <w:rPr>
          <w:szCs w:val="24"/>
        </w:rPr>
        <w:t xml:space="preserve">ompost </w:t>
      </w:r>
      <w:proofErr w:type="spellStart"/>
      <w:r w:rsidRPr="000C3750">
        <w:rPr>
          <w:szCs w:val="24"/>
        </w:rPr>
        <w:t>ana</w:t>
      </w:r>
      <w:r w:rsidRPr="000C3750">
        <w:rPr>
          <w:spacing w:val="3"/>
          <w:szCs w:val="24"/>
        </w:rPr>
        <w:t>l</w:t>
      </w:r>
      <w:r w:rsidRPr="000C3750">
        <w:rPr>
          <w:szCs w:val="24"/>
        </w:rPr>
        <w:t>ysis.Working</w:t>
      </w:r>
      <w:proofErr w:type="spellEnd"/>
      <w:r w:rsidRPr="000C3750">
        <w:rPr>
          <w:szCs w:val="24"/>
        </w:rPr>
        <w:t xml:space="preserve"> Doc</w:t>
      </w:r>
      <w:r w:rsidRPr="000C3750">
        <w:rPr>
          <w:spacing w:val="2"/>
          <w:szCs w:val="24"/>
        </w:rPr>
        <w:t>u</w:t>
      </w:r>
      <w:r w:rsidRPr="000C3750">
        <w:rPr>
          <w:szCs w:val="24"/>
        </w:rPr>
        <w:t xml:space="preserve">ment No13. </w:t>
      </w:r>
      <w:r w:rsidRPr="000C3750">
        <w:rPr>
          <w:i/>
          <w:iCs/>
          <w:szCs w:val="24"/>
        </w:rPr>
        <w:t>International Livestock Research Center for Africa</w:t>
      </w:r>
      <w:r w:rsidRPr="000C3750">
        <w:rPr>
          <w:i/>
          <w:iCs/>
          <w:spacing w:val="-1"/>
          <w:szCs w:val="24"/>
        </w:rPr>
        <w:t>(</w:t>
      </w:r>
      <w:r w:rsidRPr="000C3750">
        <w:rPr>
          <w:i/>
          <w:iCs/>
          <w:szCs w:val="24"/>
        </w:rPr>
        <w:t>ILCA</w:t>
      </w:r>
      <w:r w:rsidRPr="000C3750">
        <w:rPr>
          <w:i/>
          <w:iCs/>
          <w:spacing w:val="-3"/>
          <w:szCs w:val="24"/>
        </w:rPr>
        <w:t>)</w:t>
      </w:r>
      <w:r w:rsidRPr="000C3750">
        <w:rPr>
          <w:szCs w:val="24"/>
        </w:rPr>
        <w:t>. Addis Abab</w:t>
      </w:r>
      <w:r w:rsidRPr="000C3750">
        <w:rPr>
          <w:spacing w:val="-1"/>
          <w:szCs w:val="24"/>
        </w:rPr>
        <w:t>a</w:t>
      </w:r>
      <w:r w:rsidRPr="000C3750">
        <w:rPr>
          <w:szCs w:val="24"/>
        </w:rPr>
        <w:t>, Ethiopia</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lastRenderedPageBreak/>
        <w:t>Tekalign</w:t>
      </w:r>
      <w:proofErr w:type="spellEnd"/>
      <w:r w:rsidRPr="000C3750">
        <w:rPr>
          <w:szCs w:val="24"/>
        </w:rPr>
        <w:t xml:space="preserve">, M., and </w:t>
      </w:r>
      <w:proofErr w:type="spellStart"/>
      <w:r w:rsidRPr="000C3750">
        <w:rPr>
          <w:szCs w:val="24"/>
        </w:rPr>
        <w:t>Haque</w:t>
      </w:r>
      <w:proofErr w:type="spellEnd"/>
      <w:r w:rsidRPr="000C3750">
        <w:rPr>
          <w:szCs w:val="24"/>
        </w:rPr>
        <w:t xml:space="preserve">, I. (1991). Phosphorus status of some Ethiopian soils. III: Evaluation of soil test methods for available phosphorus. </w:t>
      </w:r>
      <w:r w:rsidRPr="000C3750">
        <w:rPr>
          <w:i/>
          <w:szCs w:val="24"/>
        </w:rPr>
        <w:t>Tropical Agric.,</w:t>
      </w:r>
      <w:r w:rsidRPr="000C3750">
        <w:rPr>
          <w:szCs w:val="24"/>
        </w:rPr>
        <w:t xml:space="preserve"> 68, 51-56.</w:t>
      </w:r>
    </w:p>
    <w:p w:rsidR="00517D8B" w:rsidRPr="000C3750" w:rsidRDefault="00517D8B" w:rsidP="00517D8B">
      <w:pPr>
        <w:pStyle w:val="BodyTextIndent"/>
        <w:autoSpaceDE/>
        <w:autoSpaceDN/>
        <w:adjustRightInd/>
        <w:rPr>
          <w:szCs w:val="22"/>
        </w:rPr>
      </w:pPr>
      <w:proofErr w:type="spellStart"/>
      <w:r w:rsidRPr="000C3750">
        <w:rPr>
          <w:szCs w:val="22"/>
        </w:rPr>
        <w:t>Temesgen</w:t>
      </w:r>
      <w:proofErr w:type="spellEnd"/>
      <w:r w:rsidRPr="000C3750">
        <w:rPr>
          <w:szCs w:val="22"/>
        </w:rPr>
        <w:t xml:space="preserve"> </w:t>
      </w:r>
      <w:proofErr w:type="spellStart"/>
      <w:r w:rsidRPr="000C3750">
        <w:rPr>
          <w:szCs w:val="22"/>
        </w:rPr>
        <w:t>Desalegn</w:t>
      </w:r>
      <w:proofErr w:type="spellEnd"/>
      <w:r w:rsidRPr="000C3750">
        <w:rPr>
          <w:szCs w:val="22"/>
        </w:rPr>
        <w:t xml:space="preserve"> (2014). Soil acidity-induced land use/cover change and management systems on soil quality parameters in the central highlands of Ethiopia. PhD Thesis. Sustainable Forest Management Research Institute University of Valladolid-INIA. Spain. pp170-173.</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Temesgen</w:t>
      </w:r>
      <w:proofErr w:type="spellEnd"/>
      <w:r w:rsidRPr="000C3750">
        <w:rPr>
          <w:szCs w:val="24"/>
        </w:rPr>
        <w:t xml:space="preserve">, D., </w:t>
      </w:r>
      <w:proofErr w:type="spellStart"/>
      <w:r w:rsidRPr="000C3750">
        <w:rPr>
          <w:szCs w:val="24"/>
        </w:rPr>
        <w:t>Getachew</w:t>
      </w:r>
      <w:proofErr w:type="spellEnd"/>
      <w:r w:rsidRPr="000C3750">
        <w:rPr>
          <w:szCs w:val="24"/>
        </w:rPr>
        <w:t xml:space="preserve">, A. </w:t>
      </w:r>
      <w:proofErr w:type="spellStart"/>
      <w:r w:rsidRPr="000C3750">
        <w:rPr>
          <w:szCs w:val="24"/>
        </w:rPr>
        <w:t>Ayalew</w:t>
      </w:r>
      <w:proofErr w:type="spellEnd"/>
      <w:r w:rsidRPr="000C3750">
        <w:rPr>
          <w:szCs w:val="24"/>
        </w:rPr>
        <w:t xml:space="preserve">, A., </w:t>
      </w:r>
      <w:proofErr w:type="spellStart"/>
      <w:r w:rsidRPr="000C3750">
        <w:rPr>
          <w:szCs w:val="24"/>
        </w:rPr>
        <w:t>Tolessa</w:t>
      </w:r>
      <w:proofErr w:type="spellEnd"/>
      <w:r w:rsidRPr="000C3750">
        <w:rPr>
          <w:szCs w:val="24"/>
        </w:rPr>
        <w:t>, D., and Gonzalo, J.J. (2016). Effect of lime and phosphorus fertilizer on acid soils and barley (</w:t>
      </w:r>
      <w:proofErr w:type="spellStart"/>
      <w:r w:rsidRPr="000C3750">
        <w:rPr>
          <w:rStyle w:val="italic"/>
          <w:i/>
          <w:iCs/>
          <w:szCs w:val="24"/>
          <w:bdr w:val="none" w:sz="0" w:space="0" w:color="auto" w:frame="1"/>
        </w:rPr>
        <w:t>Hordeum</w:t>
      </w:r>
      <w:proofErr w:type="spellEnd"/>
      <w:r w:rsidRPr="000C3750">
        <w:rPr>
          <w:rStyle w:val="italic"/>
          <w:i/>
          <w:iCs/>
          <w:szCs w:val="24"/>
          <w:bdr w:val="none" w:sz="0" w:space="0" w:color="auto" w:frame="1"/>
        </w:rPr>
        <w:t xml:space="preserve"> </w:t>
      </w:r>
      <w:proofErr w:type="spellStart"/>
      <w:r w:rsidRPr="000C3750">
        <w:rPr>
          <w:rStyle w:val="italic"/>
          <w:i/>
          <w:iCs/>
          <w:szCs w:val="24"/>
          <w:bdr w:val="none" w:sz="0" w:space="0" w:color="auto" w:frame="1"/>
        </w:rPr>
        <w:t>vulgare</w:t>
      </w:r>
      <w:proofErr w:type="spellEnd"/>
      <w:r w:rsidRPr="000C3750">
        <w:rPr>
          <w:szCs w:val="24"/>
        </w:rPr>
        <w:t xml:space="preserve"> L.) Performance in the central highlands of </w:t>
      </w:r>
      <w:proofErr w:type="spellStart"/>
      <w:r w:rsidRPr="000C3750">
        <w:rPr>
          <w:szCs w:val="24"/>
        </w:rPr>
        <w:t>Ethiopia.</w:t>
      </w:r>
      <w:r w:rsidRPr="000C3750">
        <w:rPr>
          <w:i/>
          <w:szCs w:val="24"/>
        </w:rPr>
        <w:t>Expl</w:t>
      </w:r>
      <w:proofErr w:type="spellEnd"/>
      <w:r w:rsidRPr="000C3750">
        <w:rPr>
          <w:i/>
          <w:szCs w:val="24"/>
        </w:rPr>
        <w:t>. Agric</w:t>
      </w:r>
      <w:r w:rsidRPr="000C3750">
        <w:rPr>
          <w:szCs w:val="24"/>
        </w:rPr>
        <w:t>., 53 (3), 432-444.</w:t>
      </w:r>
    </w:p>
    <w:p w:rsidR="00517D8B" w:rsidRPr="000C3750" w:rsidRDefault="00517D8B" w:rsidP="00517D8B">
      <w:pPr>
        <w:autoSpaceDE w:val="0"/>
        <w:autoSpaceDN w:val="0"/>
        <w:adjustRightInd w:val="0"/>
        <w:spacing w:after="0" w:line="360" w:lineRule="auto"/>
        <w:ind w:left="720" w:hanging="720"/>
        <w:jc w:val="both"/>
        <w:rPr>
          <w:szCs w:val="24"/>
        </w:rPr>
      </w:pPr>
      <w:r w:rsidRPr="000C3750">
        <w:rPr>
          <w:szCs w:val="24"/>
        </w:rPr>
        <w:t xml:space="preserve">USDA (The United States Department of </w:t>
      </w:r>
      <w:r w:rsidRPr="000C3750">
        <w:rPr>
          <w:spacing w:val="1"/>
          <w:szCs w:val="24"/>
        </w:rPr>
        <w:t>A</w:t>
      </w:r>
      <w:r w:rsidRPr="000C3750">
        <w:rPr>
          <w:szCs w:val="24"/>
        </w:rPr>
        <w:t>gric</w:t>
      </w:r>
      <w:r w:rsidRPr="000C3750">
        <w:rPr>
          <w:spacing w:val="1"/>
          <w:szCs w:val="24"/>
        </w:rPr>
        <w:t>u</w:t>
      </w:r>
      <w:r w:rsidRPr="000C3750">
        <w:rPr>
          <w:szCs w:val="24"/>
        </w:rPr>
        <w:t>lture) (</w:t>
      </w:r>
      <w:r w:rsidRPr="000C3750">
        <w:rPr>
          <w:w w:val="99"/>
          <w:szCs w:val="24"/>
        </w:rPr>
        <w:t>2017)</w:t>
      </w:r>
      <w:r w:rsidRPr="000C3750">
        <w:rPr>
          <w:szCs w:val="24"/>
        </w:rPr>
        <w:t xml:space="preserve">.Technical </w:t>
      </w:r>
      <w:r w:rsidRPr="000C3750">
        <w:rPr>
          <w:spacing w:val="1"/>
          <w:szCs w:val="24"/>
        </w:rPr>
        <w:t>r</w:t>
      </w:r>
      <w:r w:rsidRPr="000C3750">
        <w:rPr>
          <w:szCs w:val="24"/>
        </w:rPr>
        <w:t>eport o</w:t>
      </w:r>
      <w:r w:rsidRPr="000C3750">
        <w:rPr>
          <w:spacing w:val="4"/>
          <w:szCs w:val="24"/>
        </w:rPr>
        <w:t xml:space="preserve">n </w:t>
      </w:r>
      <w:r w:rsidRPr="000C3750">
        <w:rPr>
          <w:szCs w:val="24"/>
        </w:rPr>
        <w:t>Sampling Soils for Nutrient Management; Manur</w:t>
      </w:r>
      <w:r w:rsidRPr="000C3750">
        <w:rPr>
          <w:spacing w:val="-1"/>
          <w:szCs w:val="24"/>
        </w:rPr>
        <w:t>e</w:t>
      </w:r>
      <w:r w:rsidRPr="000C3750">
        <w:rPr>
          <w:szCs w:val="24"/>
        </w:rPr>
        <w:t xml:space="preserve"> as a Resource Seri</w:t>
      </w:r>
      <w:r w:rsidRPr="000C3750">
        <w:rPr>
          <w:spacing w:val="-1"/>
          <w:szCs w:val="24"/>
        </w:rPr>
        <w:t>e</w:t>
      </w:r>
      <w:r w:rsidRPr="000C3750">
        <w:rPr>
          <w:szCs w:val="24"/>
        </w:rPr>
        <w:t>s</w:t>
      </w:r>
      <w:r w:rsidRPr="000C3750">
        <w:rPr>
          <w:w w:val="98"/>
          <w:szCs w:val="24"/>
        </w:rPr>
        <w:t xml:space="preserve">. </w:t>
      </w:r>
      <w:r w:rsidRPr="000C3750">
        <w:rPr>
          <w:szCs w:val="24"/>
        </w:rPr>
        <w:t>Washington D.C: USA.</w:t>
      </w:r>
    </w:p>
    <w:p w:rsidR="00517D8B" w:rsidRPr="000C3750" w:rsidRDefault="00517D8B" w:rsidP="00517D8B">
      <w:pPr>
        <w:autoSpaceDE w:val="0"/>
        <w:autoSpaceDN w:val="0"/>
        <w:adjustRightInd w:val="0"/>
        <w:spacing w:after="0" w:line="360" w:lineRule="auto"/>
        <w:ind w:left="720" w:hanging="720"/>
        <w:jc w:val="both"/>
        <w:rPr>
          <w:szCs w:val="24"/>
        </w:rPr>
      </w:pPr>
      <w:proofErr w:type="spellStart"/>
      <w:r w:rsidRPr="000C3750">
        <w:rPr>
          <w:szCs w:val="24"/>
        </w:rPr>
        <w:t>Waigwa</w:t>
      </w:r>
      <w:proofErr w:type="spellEnd"/>
      <w:r w:rsidRPr="000C3750">
        <w:rPr>
          <w:szCs w:val="24"/>
        </w:rPr>
        <w:t xml:space="preserve">, M. W., </w:t>
      </w:r>
      <w:proofErr w:type="spellStart"/>
      <w:r w:rsidRPr="000C3750">
        <w:rPr>
          <w:szCs w:val="24"/>
        </w:rPr>
        <w:t>Othieno</w:t>
      </w:r>
      <w:proofErr w:type="spellEnd"/>
      <w:r w:rsidRPr="000C3750">
        <w:rPr>
          <w:szCs w:val="24"/>
        </w:rPr>
        <w:t xml:space="preserve">, C. O. and </w:t>
      </w:r>
      <w:proofErr w:type="spellStart"/>
      <w:r w:rsidRPr="000C3750">
        <w:rPr>
          <w:szCs w:val="24"/>
        </w:rPr>
        <w:t>Okalebo</w:t>
      </w:r>
      <w:proofErr w:type="spellEnd"/>
      <w:r w:rsidRPr="000C3750">
        <w:rPr>
          <w:szCs w:val="24"/>
        </w:rPr>
        <w:t xml:space="preserve">, J. R. (2003). Phosphorus availability as affected by the application of phosphate rock combined with organic materials to acid soils in Western Kenya. </w:t>
      </w:r>
      <w:r w:rsidRPr="000C3750">
        <w:rPr>
          <w:i/>
          <w:szCs w:val="24"/>
        </w:rPr>
        <w:t>Experimental Agriculture</w:t>
      </w:r>
      <w:r w:rsidRPr="000C3750">
        <w:rPr>
          <w:szCs w:val="24"/>
        </w:rPr>
        <w:t xml:space="preserve"> 39:395–407.</w:t>
      </w:r>
    </w:p>
    <w:p w:rsidR="00517D8B" w:rsidRPr="000C3750" w:rsidRDefault="00517D8B" w:rsidP="00517D8B">
      <w:pPr>
        <w:autoSpaceDE w:val="0"/>
        <w:autoSpaceDN w:val="0"/>
        <w:adjustRightInd w:val="0"/>
        <w:spacing w:after="0" w:line="360" w:lineRule="auto"/>
        <w:ind w:left="720" w:hanging="720"/>
        <w:jc w:val="both"/>
        <w:rPr>
          <w:bCs/>
          <w:szCs w:val="24"/>
        </w:rPr>
      </w:pPr>
      <w:proofErr w:type="spellStart"/>
      <w:r w:rsidRPr="000C3750">
        <w:rPr>
          <w:bCs/>
          <w:szCs w:val="24"/>
        </w:rPr>
        <w:t>Wakene</w:t>
      </w:r>
      <w:proofErr w:type="spellEnd"/>
      <w:r w:rsidRPr="000C3750">
        <w:rPr>
          <w:bCs/>
          <w:szCs w:val="24"/>
        </w:rPr>
        <w:t xml:space="preserve">, T., </w:t>
      </w:r>
      <w:proofErr w:type="spellStart"/>
      <w:r w:rsidRPr="000C3750">
        <w:rPr>
          <w:bCs/>
          <w:szCs w:val="24"/>
        </w:rPr>
        <w:t>Walelign</w:t>
      </w:r>
      <w:proofErr w:type="spellEnd"/>
      <w:r w:rsidRPr="000C3750">
        <w:rPr>
          <w:bCs/>
          <w:szCs w:val="24"/>
        </w:rPr>
        <w:t xml:space="preserve">, W., and </w:t>
      </w:r>
      <w:proofErr w:type="spellStart"/>
      <w:r w:rsidRPr="000C3750">
        <w:rPr>
          <w:bCs/>
          <w:szCs w:val="24"/>
        </w:rPr>
        <w:t>Wassie</w:t>
      </w:r>
      <w:proofErr w:type="spellEnd"/>
      <w:r w:rsidRPr="000C3750">
        <w:rPr>
          <w:bCs/>
          <w:szCs w:val="24"/>
        </w:rPr>
        <w:t>, H. (2014). Effects of nitrogen and phosphorus fertilizer levels on growth and development of barley (</w:t>
      </w:r>
      <w:proofErr w:type="spellStart"/>
      <w:r w:rsidRPr="000C3750">
        <w:rPr>
          <w:bCs/>
          <w:i/>
          <w:iCs/>
          <w:szCs w:val="24"/>
        </w:rPr>
        <w:t>Hordeum</w:t>
      </w:r>
      <w:proofErr w:type="spellEnd"/>
      <w:r w:rsidRPr="000C3750">
        <w:rPr>
          <w:bCs/>
          <w:i/>
          <w:iCs/>
          <w:szCs w:val="24"/>
        </w:rPr>
        <w:t xml:space="preserve"> </w:t>
      </w:r>
      <w:proofErr w:type="spellStart"/>
      <w:r w:rsidRPr="000C3750">
        <w:rPr>
          <w:bCs/>
          <w:i/>
          <w:iCs/>
          <w:szCs w:val="24"/>
        </w:rPr>
        <w:t>vulgare</w:t>
      </w:r>
      <w:r w:rsidRPr="000C3750">
        <w:rPr>
          <w:bCs/>
          <w:szCs w:val="24"/>
        </w:rPr>
        <w:t>L</w:t>
      </w:r>
      <w:proofErr w:type="spellEnd"/>
      <w:r w:rsidRPr="000C3750">
        <w:rPr>
          <w:bCs/>
          <w:szCs w:val="24"/>
        </w:rPr>
        <w:t xml:space="preserve">.) at Bore District, Southern </w:t>
      </w:r>
      <w:proofErr w:type="spellStart"/>
      <w:r w:rsidRPr="000C3750">
        <w:rPr>
          <w:bCs/>
          <w:szCs w:val="24"/>
        </w:rPr>
        <w:t>Oromia</w:t>
      </w:r>
      <w:proofErr w:type="spellEnd"/>
      <w:r w:rsidRPr="000C3750">
        <w:rPr>
          <w:bCs/>
          <w:szCs w:val="24"/>
        </w:rPr>
        <w:t xml:space="preserve">, Ethiopia. </w:t>
      </w:r>
      <w:r w:rsidRPr="000C3750">
        <w:rPr>
          <w:i/>
          <w:szCs w:val="24"/>
        </w:rPr>
        <w:t>Am. J. Life Sci.,</w:t>
      </w:r>
      <w:r w:rsidRPr="000C3750">
        <w:rPr>
          <w:szCs w:val="24"/>
        </w:rPr>
        <w:t xml:space="preserve"> 2(5), 260-266.</w:t>
      </w:r>
    </w:p>
    <w:p w:rsidR="00517D8B" w:rsidRPr="000C3750" w:rsidRDefault="00517D8B" w:rsidP="00517D8B">
      <w:pPr>
        <w:tabs>
          <w:tab w:val="left" w:pos="-90"/>
        </w:tabs>
        <w:spacing w:after="0" w:line="360" w:lineRule="auto"/>
        <w:ind w:left="720" w:hanging="720"/>
        <w:jc w:val="both"/>
        <w:rPr>
          <w:szCs w:val="24"/>
        </w:rPr>
      </w:pPr>
      <w:proofErr w:type="spellStart"/>
      <w:r w:rsidRPr="000C3750">
        <w:rPr>
          <w:szCs w:val="24"/>
        </w:rPr>
        <w:t>Wassie</w:t>
      </w:r>
      <w:proofErr w:type="spellEnd"/>
      <w:r w:rsidRPr="000C3750">
        <w:rPr>
          <w:szCs w:val="24"/>
        </w:rPr>
        <w:t xml:space="preserve">, H., and </w:t>
      </w:r>
      <w:proofErr w:type="spellStart"/>
      <w:r w:rsidRPr="000C3750">
        <w:rPr>
          <w:szCs w:val="24"/>
        </w:rPr>
        <w:t>Shiferaw</w:t>
      </w:r>
      <w:proofErr w:type="spellEnd"/>
      <w:r w:rsidRPr="000C3750">
        <w:rPr>
          <w:szCs w:val="24"/>
        </w:rPr>
        <w:t xml:space="preserve">, B. (2009). Mitigation of soil acidity and fertility decline challenges for sustainable livelihood improvement: Evidence from southern Region of Ethiopia. Pp. 131- 143. </w:t>
      </w:r>
      <w:r w:rsidRPr="000C3750">
        <w:rPr>
          <w:b/>
          <w:szCs w:val="24"/>
        </w:rPr>
        <w:t>In</w:t>
      </w:r>
      <w:r w:rsidRPr="000C3750">
        <w:rPr>
          <w:szCs w:val="24"/>
        </w:rPr>
        <w:t xml:space="preserve">: </w:t>
      </w:r>
      <w:proofErr w:type="spellStart"/>
      <w:r w:rsidRPr="000C3750">
        <w:rPr>
          <w:szCs w:val="24"/>
        </w:rPr>
        <w:t>Atlaw</w:t>
      </w:r>
      <w:proofErr w:type="spellEnd"/>
      <w:r w:rsidRPr="000C3750">
        <w:rPr>
          <w:szCs w:val="24"/>
        </w:rPr>
        <w:t xml:space="preserve"> A., Saba Y., </w:t>
      </w:r>
      <w:proofErr w:type="spellStart"/>
      <w:r w:rsidRPr="000C3750">
        <w:rPr>
          <w:szCs w:val="24"/>
        </w:rPr>
        <w:t>Alemu</w:t>
      </w:r>
      <w:proofErr w:type="spellEnd"/>
      <w:r w:rsidRPr="000C3750">
        <w:rPr>
          <w:szCs w:val="24"/>
        </w:rPr>
        <w:t xml:space="preserve"> M. and </w:t>
      </w:r>
      <w:proofErr w:type="spellStart"/>
      <w:r w:rsidRPr="000C3750">
        <w:rPr>
          <w:szCs w:val="24"/>
        </w:rPr>
        <w:t>Minale</w:t>
      </w:r>
      <w:proofErr w:type="spellEnd"/>
      <w:r w:rsidRPr="000C3750">
        <w:rPr>
          <w:szCs w:val="24"/>
        </w:rPr>
        <w:t xml:space="preserve"> K. (eds.). Proceedings of the national Conference on Sustainable Land  Management and Poverty Alleviation, Co-organized by Environmental Economics  Policy Forum for Ethiopia at Ethiopian Development Research Institute, Sustainable Land Use Forum (SLUF), </w:t>
      </w:r>
      <w:proofErr w:type="spellStart"/>
      <w:r w:rsidRPr="000C3750">
        <w:rPr>
          <w:szCs w:val="24"/>
        </w:rPr>
        <w:t>Oromia</w:t>
      </w:r>
      <w:proofErr w:type="spellEnd"/>
      <w:r w:rsidRPr="000C3750">
        <w:rPr>
          <w:szCs w:val="24"/>
        </w:rPr>
        <w:t xml:space="preserve"> Agricultural Research Institute (ORARI) and College of Agriculture at </w:t>
      </w:r>
      <w:proofErr w:type="spellStart"/>
      <w:r w:rsidRPr="000C3750">
        <w:rPr>
          <w:szCs w:val="24"/>
        </w:rPr>
        <w:t>Hawassa</w:t>
      </w:r>
      <w:proofErr w:type="spellEnd"/>
      <w:r w:rsidRPr="000C3750">
        <w:rPr>
          <w:szCs w:val="24"/>
        </w:rPr>
        <w:t xml:space="preserve"> University, Addis Ababa, December, 2009. </w:t>
      </w:r>
    </w:p>
    <w:p w:rsidR="00517D8B" w:rsidRPr="000C3750" w:rsidRDefault="00517D8B" w:rsidP="00517D8B">
      <w:pPr>
        <w:spacing w:after="0" w:line="360" w:lineRule="auto"/>
        <w:ind w:left="720" w:hanging="720"/>
        <w:jc w:val="both"/>
      </w:pPr>
      <w:r w:rsidRPr="000C3750">
        <w:t xml:space="preserve">Weston DT,  RD Horsley PB Schwarz, RJ </w:t>
      </w:r>
      <w:proofErr w:type="spellStart"/>
      <w:r w:rsidRPr="000C3750">
        <w:t>Goos</w:t>
      </w:r>
      <w:proofErr w:type="spellEnd"/>
      <w:r w:rsidRPr="000C3750">
        <w:t xml:space="preserve">, (1993).Nitrogen and planting date effects on low protein spring barley. </w:t>
      </w:r>
      <w:proofErr w:type="spellStart"/>
      <w:r w:rsidRPr="000C3750">
        <w:rPr>
          <w:i/>
        </w:rPr>
        <w:t>Agron</w:t>
      </w:r>
      <w:proofErr w:type="spellEnd"/>
      <w:r w:rsidRPr="000C3750">
        <w:rPr>
          <w:i/>
        </w:rPr>
        <w:t>. J.</w:t>
      </w:r>
      <w:r w:rsidRPr="000C3750">
        <w:t xml:space="preserve"> 1170-1174, 85.</w:t>
      </w:r>
    </w:p>
    <w:p w:rsidR="00517D8B" w:rsidRPr="000C3750" w:rsidRDefault="00517D8B" w:rsidP="00517D8B">
      <w:pPr>
        <w:tabs>
          <w:tab w:val="left" w:pos="9720"/>
        </w:tabs>
        <w:spacing w:after="0" w:line="360" w:lineRule="auto"/>
        <w:ind w:left="785" w:right="180" w:hangingChars="327" w:hanging="785"/>
        <w:jc w:val="both"/>
        <w:rPr>
          <w:rFonts w:eastAsia="Calibri"/>
          <w:szCs w:val="24"/>
          <w:lang w:eastAsia="bg-BG"/>
        </w:rPr>
      </w:pPr>
      <w:proofErr w:type="spellStart"/>
      <w:r w:rsidRPr="000C3750">
        <w:rPr>
          <w:rFonts w:eastAsia="Calibri"/>
          <w:szCs w:val="24"/>
          <w:lang w:eastAsia="bg-BG"/>
        </w:rPr>
        <w:t>Woubshet</w:t>
      </w:r>
      <w:proofErr w:type="spellEnd"/>
      <w:r w:rsidRPr="000C3750">
        <w:rPr>
          <w:rFonts w:eastAsia="Calibri"/>
          <w:szCs w:val="24"/>
          <w:lang w:eastAsia="bg-BG"/>
        </w:rPr>
        <w:t xml:space="preserve"> D. </w:t>
      </w:r>
      <w:proofErr w:type="spellStart"/>
      <w:r w:rsidRPr="000C3750">
        <w:rPr>
          <w:rFonts w:eastAsia="Calibri"/>
          <w:szCs w:val="24"/>
          <w:lang w:eastAsia="bg-BG"/>
        </w:rPr>
        <w:t>Selamyihun</w:t>
      </w:r>
      <w:proofErr w:type="spellEnd"/>
      <w:r w:rsidRPr="000C3750">
        <w:rPr>
          <w:rFonts w:eastAsia="Calibri"/>
          <w:szCs w:val="24"/>
          <w:lang w:eastAsia="bg-BG"/>
        </w:rPr>
        <w:t xml:space="preserve"> K. and </w:t>
      </w:r>
      <w:proofErr w:type="spellStart"/>
      <w:r w:rsidRPr="000C3750">
        <w:rPr>
          <w:rFonts w:eastAsia="Calibri"/>
          <w:szCs w:val="24"/>
          <w:lang w:eastAsia="bg-BG"/>
        </w:rPr>
        <w:t>Cherukuri</w:t>
      </w:r>
      <w:proofErr w:type="spellEnd"/>
      <w:r w:rsidRPr="000C3750">
        <w:rPr>
          <w:rFonts w:eastAsia="Calibri"/>
          <w:szCs w:val="24"/>
          <w:lang w:eastAsia="bg-BG"/>
        </w:rPr>
        <w:t xml:space="preserve"> V. (2017). Effect of integrated use of lime, blended fertilizer, and compost on productivity, nutrient removal and economics of </w:t>
      </w:r>
      <w:r w:rsidRPr="000C3750">
        <w:rPr>
          <w:rFonts w:eastAsia="Calibri"/>
          <w:szCs w:val="24"/>
          <w:lang w:eastAsia="bg-BG"/>
        </w:rPr>
        <w:lastRenderedPageBreak/>
        <w:t>barley (</w:t>
      </w:r>
      <w:proofErr w:type="spellStart"/>
      <w:r w:rsidRPr="000C3750">
        <w:rPr>
          <w:rFonts w:eastAsia="Calibri"/>
          <w:i/>
          <w:szCs w:val="24"/>
          <w:lang w:eastAsia="bg-BG"/>
        </w:rPr>
        <w:t>Hordeum</w:t>
      </w:r>
      <w:proofErr w:type="spellEnd"/>
      <w:r w:rsidRPr="000C3750">
        <w:rPr>
          <w:rFonts w:eastAsia="Calibri"/>
          <w:i/>
          <w:szCs w:val="24"/>
          <w:lang w:eastAsia="bg-BG"/>
        </w:rPr>
        <w:t xml:space="preserve"> </w:t>
      </w:r>
      <w:proofErr w:type="spellStart"/>
      <w:r w:rsidRPr="000C3750">
        <w:rPr>
          <w:rFonts w:eastAsia="Calibri"/>
          <w:i/>
          <w:szCs w:val="24"/>
          <w:lang w:eastAsia="bg-BG"/>
        </w:rPr>
        <w:t>vulgare</w:t>
      </w:r>
      <w:proofErr w:type="spellEnd"/>
      <w:r w:rsidRPr="000C3750">
        <w:rPr>
          <w:rFonts w:eastAsia="Calibri"/>
          <w:szCs w:val="24"/>
          <w:lang w:eastAsia="bg-BG"/>
        </w:rPr>
        <w:t xml:space="preserve"> L.) on acid soils of high lands in West Showa Zone of Ethiopia. </w:t>
      </w:r>
      <w:r w:rsidRPr="000C3750">
        <w:rPr>
          <w:rFonts w:eastAsia="Calibri"/>
          <w:i/>
          <w:szCs w:val="24"/>
          <w:lang w:eastAsia="bg-BG"/>
        </w:rPr>
        <w:t>Int. Jour. of Life Sci</w:t>
      </w:r>
      <w:r w:rsidRPr="000C3750">
        <w:rPr>
          <w:rFonts w:eastAsia="Calibri"/>
          <w:szCs w:val="24"/>
          <w:lang w:eastAsia="bg-BG"/>
        </w:rPr>
        <w:t>. Vol. 5 (3): 311-322.</w:t>
      </w:r>
    </w:p>
    <w:p w:rsidR="00517D8B" w:rsidRPr="006A73F5" w:rsidRDefault="00517D8B" w:rsidP="006F3FA5">
      <w:pPr>
        <w:spacing w:after="0" w:line="360" w:lineRule="auto"/>
        <w:ind w:left="720" w:hanging="720"/>
        <w:jc w:val="both"/>
        <w:rPr>
          <w:b/>
          <w:szCs w:val="24"/>
        </w:rPr>
      </w:pPr>
      <w:r w:rsidRPr="000C3750">
        <w:t xml:space="preserve">Zhao F.J., Fortune S., Barbosa V.L., McGrath S.P., </w:t>
      </w:r>
      <w:proofErr w:type="spellStart"/>
      <w:r w:rsidRPr="000C3750">
        <w:t>Stobart</w:t>
      </w:r>
      <w:proofErr w:type="spellEnd"/>
      <w:r w:rsidRPr="000C3750">
        <w:t xml:space="preserve"> R., </w:t>
      </w:r>
      <w:proofErr w:type="spellStart"/>
      <w:r w:rsidRPr="000C3750">
        <w:t>Bilsborrow</w:t>
      </w:r>
      <w:proofErr w:type="spellEnd"/>
      <w:r w:rsidRPr="000C3750">
        <w:t xml:space="preserve"> P.E., Booth E.J., Brown A. and Robson P. (2006). Effects of </w:t>
      </w:r>
      <w:proofErr w:type="spellStart"/>
      <w:r w:rsidRPr="000C3750">
        <w:t>sulphur</w:t>
      </w:r>
      <w:proofErr w:type="spellEnd"/>
      <w:r w:rsidRPr="000C3750">
        <w:t xml:space="preserve"> on yield and malting quality of barley. </w:t>
      </w:r>
      <w:r w:rsidRPr="000C3750">
        <w:rPr>
          <w:i/>
        </w:rPr>
        <w:t>Journal of Cereal Science</w:t>
      </w:r>
      <w:r w:rsidRPr="000C3750">
        <w:t xml:space="preserve"> 43(3): 369-377.</w:t>
      </w:r>
    </w:p>
    <w:sectPr w:rsidR="00517D8B" w:rsidRPr="006A73F5" w:rsidSect="0019684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0C" w:rsidRDefault="00BD100C" w:rsidP="00F21CE2">
      <w:pPr>
        <w:spacing w:after="0" w:line="240" w:lineRule="auto"/>
      </w:pPr>
      <w:r>
        <w:separator/>
      </w:r>
    </w:p>
  </w:endnote>
  <w:endnote w:type="continuationSeparator" w:id="0">
    <w:p w:rsidR="00BD100C" w:rsidRDefault="00BD100C" w:rsidP="00F2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TIX-Regular">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27751"/>
      <w:docPartObj>
        <w:docPartGallery w:val="Page Numbers (Bottom of Page)"/>
        <w:docPartUnique/>
      </w:docPartObj>
    </w:sdtPr>
    <w:sdtEndPr/>
    <w:sdtContent>
      <w:p w:rsidR="00173ED2" w:rsidRDefault="00173ED2">
        <w:pPr>
          <w:pStyle w:val="Footer"/>
          <w:jc w:val="center"/>
        </w:pPr>
        <w:r>
          <w:fldChar w:fldCharType="begin"/>
        </w:r>
        <w:r>
          <w:instrText xml:space="preserve"> PAGE   \* MERGEFORMAT </w:instrText>
        </w:r>
        <w:r>
          <w:fldChar w:fldCharType="separate"/>
        </w:r>
        <w:r w:rsidR="001E11AD">
          <w:rPr>
            <w:noProof/>
          </w:rPr>
          <w:t>27</w:t>
        </w:r>
        <w:r>
          <w:rPr>
            <w:noProof/>
          </w:rPr>
          <w:fldChar w:fldCharType="end"/>
        </w:r>
      </w:p>
    </w:sdtContent>
  </w:sdt>
  <w:p w:rsidR="00173ED2" w:rsidRDefault="00173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0C" w:rsidRDefault="00BD100C" w:rsidP="00F21CE2">
      <w:pPr>
        <w:spacing w:after="0" w:line="240" w:lineRule="auto"/>
      </w:pPr>
      <w:r>
        <w:separator/>
      </w:r>
    </w:p>
  </w:footnote>
  <w:footnote w:type="continuationSeparator" w:id="0">
    <w:p w:rsidR="00BD100C" w:rsidRDefault="00BD100C" w:rsidP="00F21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8BC"/>
    <w:multiLevelType w:val="multilevel"/>
    <w:tmpl w:val="AE9407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2B1059"/>
    <w:multiLevelType w:val="multilevel"/>
    <w:tmpl w:val="985C65C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5021EF"/>
    <w:multiLevelType w:val="multilevel"/>
    <w:tmpl w:val="A038F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BB7469"/>
    <w:multiLevelType w:val="hybridMultilevel"/>
    <w:tmpl w:val="576408CA"/>
    <w:lvl w:ilvl="0" w:tplc="9B26A9D6">
      <w:start w:val="1"/>
      <w:numFmt w:val="bullet"/>
      <w:lvlText w:val="•"/>
      <w:lvlJc w:val="left"/>
      <w:pPr>
        <w:tabs>
          <w:tab w:val="num" w:pos="720"/>
        </w:tabs>
        <w:ind w:left="720" w:hanging="360"/>
      </w:pPr>
      <w:rPr>
        <w:rFonts w:ascii="Arial" w:hAnsi="Arial" w:hint="default"/>
      </w:rPr>
    </w:lvl>
    <w:lvl w:ilvl="1" w:tplc="07D00F22" w:tentative="1">
      <w:start w:val="1"/>
      <w:numFmt w:val="bullet"/>
      <w:lvlText w:val="•"/>
      <w:lvlJc w:val="left"/>
      <w:pPr>
        <w:tabs>
          <w:tab w:val="num" w:pos="1440"/>
        </w:tabs>
        <w:ind w:left="1440" w:hanging="360"/>
      </w:pPr>
      <w:rPr>
        <w:rFonts w:ascii="Arial" w:hAnsi="Arial" w:hint="default"/>
      </w:rPr>
    </w:lvl>
    <w:lvl w:ilvl="2" w:tplc="0C185844" w:tentative="1">
      <w:start w:val="1"/>
      <w:numFmt w:val="bullet"/>
      <w:lvlText w:val="•"/>
      <w:lvlJc w:val="left"/>
      <w:pPr>
        <w:tabs>
          <w:tab w:val="num" w:pos="2160"/>
        </w:tabs>
        <w:ind w:left="2160" w:hanging="360"/>
      </w:pPr>
      <w:rPr>
        <w:rFonts w:ascii="Arial" w:hAnsi="Arial" w:hint="default"/>
      </w:rPr>
    </w:lvl>
    <w:lvl w:ilvl="3" w:tplc="9CA63DAC" w:tentative="1">
      <w:start w:val="1"/>
      <w:numFmt w:val="bullet"/>
      <w:lvlText w:val="•"/>
      <w:lvlJc w:val="left"/>
      <w:pPr>
        <w:tabs>
          <w:tab w:val="num" w:pos="2880"/>
        </w:tabs>
        <w:ind w:left="2880" w:hanging="360"/>
      </w:pPr>
      <w:rPr>
        <w:rFonts w:ascii="Arial" w:hAnsi="Arial" w:hint="default"/>
      </w:rPr>
    </w:lvl>
    <w:lvl w:ilvl="4" w:tplc="71381368" w:tentative="1">
      <w:start w:val="1"/>
      <w:numFmt w:val="bullet"/>
      <w:lvlText w:val="•"/>
      <w:lvlJc w:val="left"/>
      <w:pPr>
        <w:tabs>
          <w:tab w:val="num" w:pos="3600"/>
        </w:tabs>
        <w:ind w:left="3600" w:hanging="360"/>
      </w:pPr>
      <w:rPr>
        <w:rFonts w:ascii="Arial" w:hAnsi="Arial" w:hint="default"/>
      </w:rPr>
    </w:lvl>
    <w:lvl w:ilvl="5" w:tplc="E876BD0E" w:tentative="1">
      <w:start w:val="1"/>
      <w:numFmt w:val="bullet"/>
      <w:lvlText w:val="•"/>
      <w:lvlJc w:val="left"/>
      <w:pPr>
        <w:tabs>
          <w:tab w:val="num" w:pos="4320"/>
        </w:tabs>
        <w:ind w:left="4320" w:hanging="360"/>
      </w:pPr>
      <w:rPr>
        <w:rFonts w:ascii="Arial" w:hAnsi="Arial" w:hint="default"/>
      </w:rPr>
    </w:lvl>
    <w:lvl w:ilvl="6" w:tplc="4E28CF7C" w:tentative="1">
      <w:start w:val="1"/>
      <w:numFmt w:val="bullet"/>
      <w:lvlText w:val="•"/>
      <w:lvlJc w:val="left"/>
      <w:pPr>
        <w:tabs>
          <w:tab w:val="num" w:pos="5040"/>
        </w:tabs>
        <w:ind w:left="5040" w:hanging="360"/>
      </w:pPr>
      <w:rPr>
        <w:rFonts w:ascii="Arial" w:hAnsi="Arial" w:hint="default"/>
      </w:rPr>
    </w:lvl>
    <w:lvl w:ilvl="7" w:tplc="6E4497CA" w:tentative="1">
      <w:start w:val="1"/>
      <w:numFmt w:val="bullet"/>
      <w:lvlText w:val="•"/>
      <w:lvlJc w:val="left"/>
      <w:pPr>
        <w:tabs>
          <w:tab w:val="num" w:pos="5760"/>
        </w:tabs>
        <w:ind w:left="5760" w:hanging="360"/>
      </w:pPr>
      <w:rPr>
        <w:rFonts w:ascii="Arial" w:hAnsi="Arial" w:hint="default"/>
      </w:rPr>
    </w:lvl>
    <w:lvl w:ilvl="8" w:tplc="CBA2A296" w:tentative="1">
      <w:start w:val="1"/>
      <w:numFmt w:val="bullet"/>
      <w:lvlText w:val="•"/>
      <w:lvlJc w:val="left"/>
      <w:pPr>
        <w:tabs>
          <w:tab w:val="num" w:pos="6480"/>
        </w:tabs>
        <w:ind w:left="6480" w:hanging="360"/>
      </w:pPr>
      <w:rPr>
        <w:rFonts w:ascii="Arial" w:hAnsi="Arial" w:hint="default"/>
      </w:rPr>
    </w:lvl>
  </w:abstractNum>
  <w:abstractNum w:abstractNumId="4">
    <w:nsid w:val="215E5253"/>
    <w:multiLevelType w:val="multilevel"/>
    <w:tmpl w:val="BCD0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8071E1"/>
    <w:multiLevelType w:val="hybridMultilevel"/>
    <w:tmpl w:val="88663FE6"/>
    <w:lvl w:ilvl="0" w:tplc="44FCD00A">
      <w:start w:val="11"/>
      <w:numFmt w:val="bullet"/>
      <w:lvlText w:val=""/>
      <w:lvlJc w:val="left"/>
      <w:pPr>
        <w:ind w:left="1740" w:hanging="360"/>
      </w:pPr>
      <w:rPr>
        <w:rFonts w:ascii="Symbol" w:eastAsia="Calibri" w:hAnsi="Symbol"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nsid w:val="22111032"/>
    <w:multiLevelType w:val="multilevel"/>
    <w:tmpl w:val="6D70DD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C019F5"/>
    <w:multiLevelType w:val="hybridMultilevel"/>
    <w:tmpl w:val="F516F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E1180"/>
    <w:multiLevelType w:val="multilevel"/>
    <w:tmpl w:val="BCD0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DB463A"/>
    <w:multiLevelType w:val="multilevel"/>
    <w:tmpl w:val="BCD0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7E20AD"/>
    <w:multiLevelType w:val="hybridMultilevel"/>
    <w:tmpl w:val="9B20C56A"/>
    <w:lvl w:ilvl="0" w:tplc="BEE4DA06">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D0FC8"/>
    <w:multiLevelType w:val="multilevel"/>
    <w:tmpl w:val="6D70DD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C416BE"/>
    <w:multiLevelType w:val="hybridMultilevel"/>
    <w:tmpl w:val="58784AAC"/>
    <w:lvl w:ilvl="0" w:tplc="0662468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02610"/>
    <w:multiLevelType w:val="hybridMultilevel"/>
    <w:tmpl w:val="DE389C34"/>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C568BA"/>
    <w:multiLevelType w:val="multilevel"/>
    <w:tmpl w:val="D232710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FC01DB"/>
    <w:multiLevelType w:val="hybridMultilevel"/>
    <w:tmpl w:val="E410E1D0"/>
    <w:lvl w:ilvl="0" w:tplc="588667D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0"/>
  </w:num>
  <w:num w:numId="5">
    <w:abstractNumId w:val="11"/>
  </w:num>
  <w:num w:numId="6">
    <w:abstractNumId w:val="1"/>
  </w:num>
  <w:num w:numId="7">
    <w:abstractNumId w:val="15"/>
  </w:num>
  <w:num w:numId="8">
    <w:abstractNumId w:val="7"/>
  </w:num>
  <w:num w:numId="9">
    <w:abstractNumId w:val="3"/>
  </w:num>
  <w:num w:numId="10">
    <w:abstractNumId w:val="6"/>
  </w:num>
  <w:num w:numId="11">
    <w:abstractNumId w:val="14"/>
  </w:num>
  <w:num w:numId="12">
    <w:abstractNumId w:val="9"/>
  </w:num>
  <w:num w:numId="13">
    <w:abstractNumId w:val="13"/>
  </w:num>
  <w:num w:numId="14">
    <w:abstractNumId w:val="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9A"/>
    <w:rsid w:val="000027FB"/>
    <w:rsid w:val="00002A88"/>
    <w:rsid w:val="00011401"/>
    <w:rsid w:val="00020CBE"/>
    <w:rsid w:val="0002433A"/>
    <w:rsid w:val="00027917"/>
    <w:rsid w:val="00027CAB"/>
    <w:rsid w:val="000314A3"/>
    <w:rsid w:val="00035FAB"/>
    <w:rsid w:val="00045DA6"/>
    <w:rsid w:val="00046FE5"/>
    <w:rsid w:val="00047194"/>
    <w:rsid w:val="00047ACE"/>
    <w:rsid w:val="00050DD9"/>
    <w:rsid w:val="000546C7"/>
    <w:rsid w:val="00055E48"/>
    <w:rsid w:val="00056046"/>
    <w:rsid w:val="00061199"/>
    <w:rsid w:val="00065EB8"/>
    <w:rsid w:val="00067D5E"/>
    <w:rsid w:val="0007180F"/>
    <w:rsid w:val="0007575D"/>
    <w:rsid w:val="00076642"/>
    <w:rsid w:val="00081C3E"/>
    <w:rsid w:val="00091B1A"/>
    <w:rsid w:val="000922F5"/>
    <w:rsid w:val="00097E20"/>
    <w:rsid w:val="000A213C"/>
    <w:rsid w:val="000A6E21"/>
    <w:rsid w:val="000B4525"/>
    <w:rsid w:val="000C0535"/>
    <w:rsid w:val="000C3750"/>
    <w:rsid w:val="000C4699"/>
    <w:rsid w:val="000C5C84"/>
    <w:rsid w:val="000C619B"/>
    <w:rsid w:val="000C71D2"/>
    <w:rsid w:val="000D6747"/>
    <w:rsid w:val="000E2C0B"/>
    <w:rsid w:val="000E4729"/>
    <w:rsid w:val="000E4FE0"/>
    <w:rsid w:val="000F00BC"/>
    <w:rsid w:val="000F6A0D"/>
    <w:rsid w:val="000F7C9F"/>
    <w:rsid w:val="00100893"/>
    <w:rsid w:val="00102748"/>
    <w:rsid w:val="00110F91"/>
    <w:rsid w:val="001118E2"/>
    <w:rsid w:val="001132CC"/>
    <w:rsid w:val="0012458E"/>
    <w:rsid w:val="00125B78"/>
    <w:rsid w:val="001320BA"/>
    <w:rsid w:val="00132BEB"/>
    <w:rsid w:val="00134A40"/>
    <w:rsid w:val="00137773"/>
    <w:rsid w:val="00146B55"/>
    <w:rsid w:val="0014799C"/>
    <w:rsid w:val="00150ACC"/>
    <w:rsid w:val="00152DE7"/>
    <w:rsid w:val="0015468A"/>
    <w:rsid w:val="001566C7"/>
    <w:rsid w:val="00165994"/>
    <w:rsid w:val="00165B68"/>
    <w:rsid w:val="001716DE"/>
    <w:rsid w:val="00171817"/>
    <w:rsid w:val="00172F94"/>
    <w:rsid w:val="00173ED2"/>
    <w:rsid w:val="00175EA0"/>
    <w:rsid w:val="00176C26"/>
    <w:rsid w:val="0017712B"/>
    <w:rsid w:val="001818AD"/>
    <w:rsid w:val="00183866"/>
    <w:rsid w:val="00190722"/>
    <w:rsid w:val="00194C56"/>
    <w:rsid w:val="00195857"/>
    <w:rsid w:val="0019684F"/>
    <w:rsid w:val="001A0F45"/>
    <w:rsid w:val="001B5ABB"/>
    <w:rsid w:val="001C02AD"/>
    <w:rsid w:val="001C0CB7"/>
    <w:rsid w:val="001D56A8"/>
    <w:rsid w:val="001E11AD"/>
    <w:rsid w:val="001E3779"/>
    <w:rsid w:val="001E5591"/>
    <w:rsid w:val="001F027A"/>
    <w:rsid w:val="001F2C93"/>
    <w:rsid w:val="001F3238"/>
    <w:rsid w:val="001F46E8"/>
    <w:rsid w:val="001F4798"/>
    <w:rsid w:val="00206013"/>
    <w:rsid w:val="00214286"/>
    <w:rsid w:val="00217667"/>
    <w:rsid w:val="00223857"/>
    <w:rsid w:val="00223C93"/>
    <w:rsid w:val="00223D32"/>
    <w:rsid w:val="00227B06"/>
    <w:rsid w:val="00236FC9"/>
    <w:rsid w:val="00241388"/>
    <w:rsid w:val="00246BAD"/>
    <w:rsid w:val="00251400"/>
    <w:rsid w:val="00260A27"/>
    <w:rsid w:val="002639B7"/>
    <w:rsid w:val="00264D56"/>
    <w:rsid w:val="0027209C"/>
    <w:rsid w:val="00283DB4"/>
    <w:rsid w:val="00284389"/>
    <w:rsid w:val="00286DC8"/>
    <w:rsid w:val="00287451"/>
    <w:rsid w:val="00292FDF"/>
    <w:rsid w:val="00295177"/>
    <w:rsid w:val="002952E7"/>
    <w:rsid w:val="002B5D12"/>
    <w:rsid w:val="002B6F55"/>
    <w:rsid w:val="002B78A6"/>
    <w:rsid w:val="002C0284"/>
    <w:rsid w:val="002C40E7"/>
    <w:rsid w:val="002C7F7C"/>
    <w:rsid w:val="002D1B27"/>
    <w:rsid w:val="002D383C"/>
    <w:rsid w:val="002D74D3"/>
    <w:rsid w:val="002E057A"/>
    <w:rsid w:val="002E7092"/>
    <w:rsid w:val="002F12CB"/>
    <w:rsid w:val="002F3EF3"/>
    <w:rsid w:val="002F5D7F"/>
    <w:rsid w:val="002F6277"/>
    <w:rsid w:val="002F7041"/>
    <w:rsid w:val="00300399"/>
    <w:rsid w:val="00304292"/>
    <w:rsid w:val="00305D67"/>
    <w:rsid w:val="00306FA0"/>
    <w:rsid w:val="00310C86"/>
    <w:rsid w:val="00310E39"/>
    <w:rsid w:val="0031242C"/>
    <w:rsid w:val="00313F69"/>
    <w:rsid w:val="00330349"/>
    <w:rsid w:val="003314D2"/>
    <w:rsid w:val="00331686"/>
    <w:rsid w:val="0033276A"/>
    <w:rsid w:val="00334BA0"/>
    <w:rsid w:val="0034270B"/>
    <w:rsid w:val="003479E8"/>
    <w:rsid w:val="0035265B"/>
    <w:rsid w:val="0035307C"/>
    <w:rsid w:val="0035336D"/>
    <w:rsid w:val="0035385A"/>
    <w:rsid w:val="00354EB7"/>
    <w:rsid w:val="00355376"/>
    <w:rsid w:val="00357003"/>
    <w:rsid w:val="00363EB8"/>
    <w:rsid w:val="0036637A"/>
    <w:rsid w:val="00367C01"/>
    <w:rsid w:val="00370EB8"/>
    <w:rsid w:val="00370FF0"/>
    <w:rsid w:val="00371B79"/>
    <w:rsid w:val="00374BDC"/>
    <w:rsid w:val="00375F72"/>
    <w:rsid w:val="00376DAC"/>
    <w:rsid w:val="00385CDF"/>
    <w:rsid w:val="00390738"/>
    <w:rsid w:val="003930A2"/>
    <w:rsid w:val="00393194"/>
    <w:rsid w:val="003A1206"/>
    <w:rsid w:val="003A6675"/>
    <w:rsid w:val="003B18CF"/>
    <w:rsid w:val="003B62A4"/>
    <w:rsid w:val="003C0210"/>
    <w:rsid w:val="003C3BD4"/>
    <w:rsid w:val="003D0BD6"/>
    <w:rsid w:val="003D1DE2"/>
    <w:rsid w:val="003D3E5B"/>
    <w:rsid w:val="003E03E5"/>
    <w:rsid w:val="003E4122"/>
    <w:rsid w:val="003F767D"/>
    <w:rsid w:val="00413065"/>
    <w:rsid w:val="0041741D"/>
    <w:rsid w:val="00433CA6"/>
    <w:rsid w:val="00434A7F"/>
    <w:rsid w:val="00441DF2"/>
    <w:rsid w:val="004466A7"/>
    <w:rsid w:val="004473CD"/>
    <w:rsid w:val="00447EF5"/>
    <w:rsid w:val="00450D7A"/>
    <w:rsid w:val="0045453B"/>
    <w:rsid w:val="004578C7"/>
    <w:rsid w:val="00460F9A"/>
    <w:rsid w:val="00464E39"/>
    <w:rsid w:val="004719A4"/>
    <w:rsid w:val="00474153"/>
    <w:rsid w:val="00477101"/>
    <w:rsid w:val="00483C80"/>
    <w:rsid w:val="00483EA1"/>
    <w:rsid w:val="00484987"/>
    <w:rsid w:val="0048585C"/>
    <w:rsid w:val="004875F5"/>
    <w:rsid w:val="00490429"/>
    <w:rsid w:val="0049085B"/>
    <w:rsid w:val="00491204"/>
    <w:rsid w:val="0049251A"/>
    <w:rsid w:val="00494333"/>
    <w:rsid w:val="004962E0"/>
    <w:rsid w:val="0049695F"/>
    <w:rsid w:val="004B03EC"/>
    <w:rsid w:val="004B072E"/>
    <w:rsid w:val="004C37A5"/>
    <w:rsid w:val="004C4050"/>
    <w:rsid w:val="004C4C22"/>
    <w:rsid w:val="004C6ACE"/>
    <w:rsid w:val="004C710B"/>
    <w:rsid w:val="004C7C89"/>
    <w:rsid w:val="004D23B7"/>
    <w:rsid w:val="004D3FFB"/>
    <w:rsid w:val="004E15FF"/>
    <w:rsid w:val="004E4D90"/>
    <w:rsid w:val="004E4E78"/>
    <w:rsid w:val="004E6455"/>
    <w:rsid w:val="004E7905"/>
    <w:rsid w:val="004F2778"/>
    <w:rsid w:val="004F5523"/>
    <w:rsid w:val="004F5757"/>
    <w:rsid w:val="004F6370"/>
    <w:rsid w:val="005027B8"/>
    <w:rsid w:val="00503644"/>
    <w:rsid w:val="00505144"/>
    <w:rsid w:val="00510F9A"/>
    <w:rsid w:val="0051428B"/>
    <w:rsid w:val="00517D8B"/>
    <w:rsid w:val="00520484"/>
    <w:rsid w:val="00523EAD"/>
    <w:rsid w:val="00524B86"/>
    <w:rsid w:val="00532918"/>
    <w:rsid w:val="00532BDD"/>
    <w:rsid w:val="005401F4"/>
    <w:rsid w:val="00544EE7"/>
    <w:rsid w:val="0054643E"/>
    <w:rsid w:val="005626C5"/>
    <w:rsid w:val="0056480F"/>
    <w:rsid w:val="00572875"/>
    <w:rsid w:val="00582A3C"/>
    <w:rsid w:val="005A30F1"/>
    <w:rsid w:val="005A3633"/>
    <w:rsid w:val="005A3964"/>
    <w:rsid w:val="005A5592"/>
    <w:rsid w:val="005A7E94"/>
    <w:rsid w:val="005B3731"/>
    <w:rsid w:val="005B412B"/>
    <w:rsid w:val="005B4ADF"/>
    <w:rsid w:val="005B6D41"/>
    <w:rsid w:val="005C097F"/>
    <w:rsid w:val="005C17D2"/>
    <w:rsid w:val="005C32AD"/>
    <w:rsid w:val="005C544C"/>
    <w:rsid w:val="005C733A"/>
    <w:rsid w:val="005D14A5"/>
    <w:rsid w:val="005D191D"/>
    <w:rsid w:val="005D1AD2"/>
    <w:rsid w:val="005D1D2F"/>
    <w:rsid w:val="005D5118"/>
    <w:rsid w:val="005D5154"/>
    <w:rsid w:val="005D5D95"/>
    <w:rsid w:val="005D5E09"/>
    <w:rsid w:val="005D643E"/>
    <w:rsid w:val="005F179A"/>
    <w:rsid w:val="005F1B1D"/>
    <w:rsid w:val="005F30CD"/>
    <w:rsid w:val="005F6FC5"/>
    <w:rsid w:val="00602552"/>
    <w:rsid w:val="0060780D"/>
    <w:rsid w:val="00610076"/>
    <w:rsid w:val="00611A6D"/>
    <w:rsid w:val="00612316"/>
    <w:rsid w:val="00612938"/>
    <w:rsid w:val="00617FE4"/>
    <w:rsid w:val="00625B3E"/>
    <w:rsid w:val="00627584"/>
    <w:rsid w:val="00627AED"/>
    <w:rsid w:val="00642367"/>
    <w:rsid w:val="00650126"/>
    <w:rsid w:val="00652950"/>
    <w:rsid w:val="00657942"/>
    <w:rsid w:val="00660AF4"/>
    <w:rsid w:val="006611C7"/>
    <w:rsid w:val="0066162C"/>
    <w:rsid w:val="00666A88"/>
    <w:rsid w:val="006953BA"/>
    <w:rsid w:val="006972F2"/>
    <w:rsid w:val="006973D9"/>
    <w:rsid w:val="006A1A5F"/>
    <w:rsid w:val="006A1E2F"/>
    <w:rsid w:val="006A2D41"/>
    <w:rsid w:val="006A73F5"/>
    <w:rsid w:val="006B2A23"/>
    <w:rsid w:val="006B4C38"/>
    <w:rsid w:val="006B6646"/>
    <w:rsid w:val="006C1F5E"/>
    <w:rsid w:val="006C27B1"/>
    <w:rsid w:val="006C3BAA"/>
    <w:rsid w:val="006C4C04"/>
    <w:rsid w:val="006C5DA8"/>
    <w:rsid w:val="006D4E8B"/>
    <w:rsid w:val="006D5C27"/>
    <w:rsid w:val="006E2FCF"/>
    <w:rsid w:val="006E35BD"/>
    <w:rsid w:val="006E5F42"/>
    <w:rsid w:val="006E6F65"/>
    <w:rsid w:val="006F2656"/>
    <w:rsid w:val="006F3FA5"/>
    <w:rsid w:val="0071062E"/>
    <w:rsid w:val="0071343D"/>
    <w:rsid w:val="00714351"/>
    <w:rsid w:val="00714C59"/>
    <w:rsid w:val="00714D9F"/>
    <w:rsid w:val="007174BF"/>
    <w:rsid w:val="00723235"/>
    <w:rsid w:val="007329BA"/>
    <w:rsid w:val="00735BC1"/>
    <w:rsid w:val="007404FF"/>
    <w:rsid w:val="00740780"/>
    <w:rsid w:val="007430F3"/>
    <w:rsid w:val="00743A75"/>
    <w:rsid w:val="00743C34"/>
    <w:rsid w:val="00743EF9"/>
    <w:rsid w:val="00753022"/>
    <w:rsid w:val="00757BB2"/>
    <w:rsid w:val="007602A2"/>
    <w:rsid w:val="00762603"/>
    <w:rsid w:val="00762D30"/>
    <w:rsid w:val="0077395D"/>
    <w:rsid w:val="00777A96"/>
    <w:rsid w:val="00784774"/>
    <w:rsid w:val="0079260D"/>
    <w:rsid w:val="007934C4"/>
    <w:rsid w:val="007948E9"/>
    <w:rsid w:val="00796B2E"/>
    <w:rsid w:val="007A1C14"/>
    <w:rsid w:val="007A2154"/>
    <w:rsid w:val="007B04DC"/>
    <w:rsid w:val="007C1118"/>
    <w:rsid w:val="007C2D61"/>
    <w:rsid w:val="007C3CE3"/>
    <w:rsid w:val="007C5554"/>
    <w:rsid w:val="007C75F4"/>
    <w:rsid w:val="007D00AF"/>
    <w:rsid w:val="007D0607"/>
    <w:rsid w:val="007D1189"/>
    <w:rsid w:val="007D18A6"/>
    <w:rsid w:val="007D3435"/>
    <w:rsid w:val="007D454D"/>
    <w:rsid w:val="007E4806"/>
    <w:rsid w:val="007E4914"/>
    <w:rsid w:val="007E5159"/>
    <w:rsid w:val="007E604B"/>
    <w:rsid w:val="007F453D"/>
    <w:rsid w:val="007F5A37"/>
    <w:rsid w:val="0080014F"/>
    <w:rsid w:val="0080142A"/>
    <w:rsid w:val="00802879"/>
    <w:rsid w:val="00803204"/>
    <w:rsid w:val="0080630E"/>
    <w:rsid w:val="00810E0D"/>
    <w:rsid w:val="00821083"/>
    <w:rsid w:val="00822037"/>
    <w:rsid w:val="00827AE3"/>
    <w:rsid w:val="00827BE2"/>
    <w:rsid w:val="008310B2"/>
    <w:rsid w:val="00832CAF"/>
    <w:rsid w:val="00834C40"/>
    <w:rsid w:val="0083580E"/>
    <w:rsid w:val="00843086"/>
    <w:rsid w:val="008513B9"/>
    <w:rsid w:val="0085141E"/>
    <w:rsid w:val="008521B0"/>
    <w:rsid w:val="008531FA"/>
    <w:rsid w:val="00854678"/>
    <w:rsid w:val="00854EBA"/>
    <w:rsid w:val="008574F9"/>
    <w:rsid w:val="00862EEB"/>
    <w:rsid w:val="00863B15"/>
    <w:rsid w:val="00865A43"/>
    <w:rsid w:val="00870C59"/>
    <w:rsid w:val="00870EB6"/>
    <w:rsid w:val="008721BE"/>
    <w:rsid w:val="00873166"/>
    <w:rsid w:val="00876EDB"/>
    <w:rsid w:val="00877C02"/>
    <w:rsid w:val="00880744"/>
    <w:rsid w:val="0088500E"/>
    <w:rsid w:val="008879CD"/>
    <w:rsid w:val="008906AD"/>
    <w:rsid w:val="00892E0E"/>
    <w:rsid w:val="00894E88"/>
    <w:rsid w:val="00896E50"/>
    <w:rsid w:val="008976CA"/>
    <w:rsid w:val="008A3F2F"/>
    <w:rsid w:val="008A5128"/>
    <w:rsid w:val="008A6887"/>
    <w:rsid w:val="008A7E9C"/>
    <w:rsid w:val="008B0010"/>
    <w:rsid w:val="008B2087"/>
    <w:rsid w:val="008B23DD"/>
    <w:rsid w:val="008B360D"/>
    <w:rsid w:val="008B525D"/>
    <w:rsid w:val="008B7FB1"/>
    <w:rsid w:val="008C1385"/>
    <w:rsid w:val="008C27DD"/>
    <w:rsid w:val="008C3092"/>
    <w:rsid w:val="008C40A1"/>
    <w:rsid w:val="008D0FE4"/>
    <w:rsid w:val="008D110A"/>
    <w:rsid w:val="008D3068"/>
    <w:rsid w:val="008D36AF"/>
    <w:rsid w:val="008F1381"/>
    <w:rsid w:val="008F3641"/>
    <w:rsid w:val="008F3C17"/>
    <w:rsid w:val="00901240"/>
    <w:rsid w:val="00901E5B"/>
    <w:rsid w:val="009025AF"/>
    <w:rsid w:val="00907AF1"/>
    <w:rsid w:val="00907F67"/>
    <w:rsid w:val="00914AE7"/>
    <w:rsid w:val="00917987"/>
    <w:rsid w:val="00920663"/>
    <w:rsid w:val="009319C2"/>
    <w:rsid w:val="00950EB8"/>
    <w:rsid w:val="0095125A"/>
    <w:rsid w:val="0095171E"/>
    <w:rsid w:val="00953A30"/>
    <w:rsid w:val="0095417E"/>
    <w:rsid w:val="009565FD"/>
    <w:rsid w:val="00957A42"/>
    <w:rsid w:val="00962227"/>
    <w:rsid w:val="00965531"/>
    <w:rsid w:val="00972D5B"/>
    <w:rsid w:val="009747C3"/>
    <w:rsid w:val="009815F5"/>
    <w:rsid w:val="00982DD0"/>
    <w:rsid w:val="00984FB8"/>
    <w:rsid w:val="00987AB1"/>
    <w:rsid w:val="00991B34"/>
    <w:rsid w:val="00992332"/>
    <w:rsid w:val="0099457B"/>
    <w:rsid w:val="009979AA"/>
    <w:rsid w:val="009A0654"/>
    <w:rsid w:val="009B140A"/>
    <w:rsid w:val="009B3398"/>
    <w:rsid w:val="009B43CD"/>
    <w:rsid w:val="009C022C"/>
    <w:rsid w:val="009C07BF"/>
    <w:rsid w:val="009C3361"/>
    <w:rsid w:val="009D32A2"/>
    <w:rsid w:val="009D645F"/>
    <w:rsid w:val="009D6AC7"/>
    <w:rsid w:val="009E3F7B"/>
    <w:rsid w:val="009E5810"/>
    <w:rsid w:val="009E6BC4"/>
    <w:rsid w:val="009F281D"/>
    <w:rsid w:val="009F341C"/>
    <w:rsid w:val="00A10151"/>
    <w:rsid w:val="00A12788"/>
    <w:rsid w:val="00A21F5D"/>
    <w:rsid w:val="00A237DE"/>
    <w:rsid w:val="00A30544"/>
    <w:rsid w:val="00A3072B"/>
    <w:rsid w:val="00A32458"/>
    <w:rsid w:val="00A34732"/>
    <w:rsid w:val="00A40767"/>
    <w:rsid w:val="00A41F12"/>
    <w:rsid w:val="00A517A6"/>
    <w:rsid w:val="00A531DF"/>
    <w:rsid w:val="00A53F24"/>
    <w:rsid w:val="00A54A10"/>
    <w:rsid w:val="00A552B5"/>
    <w:rsid w:val="00A55F2B"/>
    <w:rsid w:val="00A56110"/>
    <w:rsid w:val="00A64813"/>
    <w:rsid w:val="00A749C8"/>
    <w:rsid w:val="00A74B04"/>
    <w:rsid w:val="00A773D1"/>
    <w:rsid w:val="00A82339"/>
    <w:rsid w:val="00A871C1"/>
    <w:rsid w:val="00A87C5F"/>
    <w:rsid w:val="00A97FCF"/>
    <w:rsid w:val="00AA032E"/>
    <w:rsid w:val="00AA51CA"/>
    <w:rsid w:val="00AB5E34"/>
    <w:rsid w:val="00AB7DAA"/>
    <w:rsid w:val="00AC06B6"/>
    <w:rsid w:val="00AC6E50"/>
    <w:rsid w:val="00AD0DF6"/>
    <w:rsid w:val="00AD772C"/>
    <w:rsid w:val="00AE393F"/>
    <w:rsid w:val="00AF62CF"/>
    <w:rsid w:val="00B047BD"/>
    <w:rsid w:val="00B04C99"/>
    <w:rsid w:val="00B10507"/>
    <w:rsid w:val="00B12AC5"/>
    <w:rsid w:val="00B15D70"/>
    <w:rsid w:val="00B17AF0"/>
    <w:rsid w:val="00B21C2B"/>
    <w:rsid w:val="00B229F9"/>
    <w:rsid w:val="00B25020"/>
    <w:rsid w:val="00B251E4"/>
    <w:rsid w:val="00B32668"/>
    <w:rsid w:val="00B32BE6"/>
    <w:rsid w:val="00B33347"/>
    <w:rsid w:val="00B338AB"/>
    <w:rsid w:val="00B356C0"/>
    <w:rsid w:val="00B35AAA"/>
    <w:rsid w:val="00B4754D"/>
    <w:rsid w:val="00B53CAC"/>
    <w:rsid w:val="00B55484"/>
    <w:rsid w:val="00B606B4"/>
    <w:rsid w:val="00B671A6"/>
    <w:rsid w:val="00B67D2E"/>
    <w:rsid w:val="00B7132E"/>
    <w:rsid w:val="00B76628"/>
    <w:rsid w:val="00B816C2"/>
    <w:rsid w:val="00BA0ADB"/>
    <w:rsid w:val="00BA3C7E"/>
    <w:rsid w:val="00BA3DCD"/>
    <w:rsid w:val="00BA4B82"/>
    <w:rsid w:val="00BA75F1"/>
    <w:rsid w:val="00BB130C"/>
    <w:rsid w:val="00BB2963"/>
    <w:rsid w:val="00BC0176"/>
    <w:rsid w:val="00BC4417"/>
    <w:rsid w:val="00BC6724"/>
    <w:rsid w:val="00BD045D"/>
    <w:rsid w:val="00BD0955"/>
    <w:rsid w:val="00BD0F14"/>
    <w:rsid w:val="00BD100C"/>
    <w:rsid w:val="00BD3DC2"/>
    <w:rsid w:val="00BE01C2"/>
    <w:rsid w:val="00BE17F0"/>
    <w:rsid w:val="00BE23E6"/>
    <w:rsid w:val="00BE2C9A"/>
    <w:rsid w:val="00BE3E94"/>
    <w:rsid w:val="00BF1E52"/>
    <w:rsid w:val="00BF344D"/>
    <w:rsid w:val="00BF34D7"/>
    <w:rsid w:val="00BF5739"/>
    <w:rsid w:val="00BF57E6"/>
    <w:rsid w:val="00C0580D"/>
    <w:rsid w:val="00C077E8"/>
    <w:rsid w:val="00C07E0F"/>
    <w:rsid w:val="00C206DE"/>
    <w:rsid w:val="00C24919"/>
    <w:rsid w:val="00C46767"/>
    <w:rsid w:val="00C46BD7"/>
    <w:rsid w:val="00C53D7F"/>
    <w:rsid w:val="00C54679"/>
    <w:rsid w:val="00C63AEA"/>
    <w:rsid w:val="00C71EDF"/>
    <w:rsid w:val="00C90B0B"/>
    <w:rsid w:val="00C9262B"/>
    <w:rsid w:val="00CA176A"/>
    <w:rsid w:val="00CA760E"/>
    <w:rsid w:val="00CB2C85"/>
    <w:rsid w:val="00CB360A"/>
    <w:rsid w:val="00CB3C89"/>
    <w:rsid w:val="00CB4496"/>
    <w:rsid w:val="00CB671F"/>
    <w:rsid w:val="00CB71C6"/>
    <w:rsid w:val="00CB7ED5"/>
    <w:rsid w:val="00CC43FF"/>
    <w:rsid w:val="00CC5F20"/>
    <w:rsid w:val="00CC6F43"/>
    <w:rsid w:val="00CC743C"/>
    <w:rsid w:val="00CD0823"/>
    <w:rsid w:val="00CD10AB"/>
    <w:rsid w:val="00CD1887"/>
    <w:rsid w:val="00CD23D5"/>
    <w:rsid w:val="00CD5D80"/>
    <w:rsid w:val="00CE0FFF"/>
    <w:rsid w:val="00CE2C90"/>
    <w:rsid w:val="00CE69EB"/>
    <w:rsid w:val="00CE7D10"/>
    <w:rsid w:val="00CF7E1D"/>
    <w:rsid w:val="00D04EC4"/>
    <w:rsid w:val="00D13C00"/>
    <w:rsid w:val="00D15D4F"/>
    <w:rsid w:val="00D236D3"/>
    <w:rsid w:val="00D25062"/>
    <w:rsid w:val="00D27864"/>
    <w:rsid w:val="00D34AEC"/>
    <w:rsid w:val="00D3690C"/>
    <w:rsid w:val="00D40028"/>
    <w:rsid w:val="00D43CF1"/>
    <w:rsid w:val="00D46FE0"/>
    <w:rsid w:val="00D502A3"/>
    <w:rsid w:val="00D508D7"/>
    <w:rsid w:val="00D60354"/>
    <w:rsid w:val="00D63EB0"/>
    <w:rsid w:val="00D662DB"/>
    <w:rsid w:val="00D73440"/>
    <w:rsid w:val="00D75178"/>
    <w:rsid w:val="00D93775"/>
    <w:rsid w:val="00D959F8"/>
    <w:rsid w:val="00D96BD8"/>
    <w:rsid w:val="00D9766B"/>
    <w:rsid w:val="00D978D8"/>
    <w:rsid w:val="00DA1D38"/>
    <w:rsid w:val="00DA2458"/>
    <w:rsid w:val="00DA3130"/>
    <w:rsid w:val="00DB0891"/>
    <w:rsid w:val="00DB2B69"/>
    <w:rsid w:val="00DB35A8"/>
    <w:rsid w:val="00DB6348"/>
    <w:rsid w:val="00DC0A93"/>
    <w:rsid w:val="00DC3B40"/>
    <w:rsid w:val="00DC5818"/>
    <w:rsid w:val="00DD0037"/>
    <w:rsid w:val="00DD62C6"/>
    <w:rsid w:val="00DD63B1"/>
    <w:rsid w:val="00DD6F13"/>
    <w:rsid w:val="00DD7F15"/>
    <w:rsid w:val="00DF425A"/>
    <w:rsid w:val="00DF5470"/>
    <w:rsid w:val="00DF76F5"/>
    <w:rsid w:val="00E10AE3"/>
    <w:rsid w:val="00E14BAE"/>
    <w:rsid w:val="00E22116"/>
    <w:rsid w:val="00E228CC"/>
    <w:rsid w:val="00E23C13"/>
    <w:rsid w:val="00E2475A"/>
    <w:rsid w:val="00E32C97"/>
    <w:rsid w:val="00E33793"/>
    <w:rsid w:val="00E33E3F"/>
    <w:rsid w:val="00E37F14"/>
    <w:rsid w:val="00E400FF"/>
    <w:rsid w:val="00E43161"/>
    <w:rsid w:val="00E45728"/>
    <w:rsid w:val="00E51BB2"/>
    <w:rsid w:val="00E63346"/>
    <w:rsid w:val="00E6793D"/>
    <w:rsid w:val="00E71B2E"/>
    <w:rsid w:val="00E73C37"/>
    <w:rsid w:val="00E73E09"/>
    <w:rsid w:val="00E77C9A"/>
    <w:rsid w:val="00E83053"/>
    <w:rsid w:val="00E8479F"/>
    <w:rsid w:val="00E86E98"/>
    <w:rsid w:val="00E9067F"/>
    <w:rsid w:val="00E93980"/>
    <w:rsid w:val="00E951B9"/>
    <w:rsid w:val="00E979DF"/>
    <w:rsid w:val="00EA2177"/>
    <w:rsid w:val="00EA54F9"/>
    <w:rsid w:val="00EA6055"/>
    <w:rsid w:val="00EB7404"/>
    <w:rsid w:val="00EC0726"/>
    <w:rsid w:val="00EC0F2B"/>
    <w:rsid w:val="00EC2629"/>
    <w:rsid w:val="00EC2E9E"/>
    <w:rsid w:val="00EC368C"/>
    <w:rsid w:val="00EC36E8"/>
    <w:rsid w:val="00EC3F35"/>
    <w:rsid w:val="00EC6B43"/>
    <w:rsid w:val="00EC79CF"/>
    <w:rsid w:val="00ED04D2"/>
    <w:rsid w:val="00ED38BE"/>
    <w:rsid w:val="00ED57DD"/>
    <w:rsid w:val="00EE1E37"/>
    <w:rsid w:val="00EE31ED"/>
    <w:rsid w:val="00EE3DD0"/>
    <w:rsid w:val="00EE5E5A"/>
    <w:rsid w:val="00EF0964"/>
    <w:rsid w:val="00EF2808"/>
    <w:rsid w:val="00F03A9B"/>
    <w:rsid w:val="00F04275"/>
    <w:rsid w:val="00F06049"/>
    <w:rsid w:val="00F1000C"/>
    <w:rsid w:val="00F20249"/>
    <w:rsid w:val="00F2105C"/>
    <w:rsid w:val="00F21C08"/>
    <w:rsid w:val="00F21CE2"/>
    <w:rsid w:val="00F2363F"/>
    <w:rsid w:val="00F24DC7"/>
    <w:rsid w:val="00F26730"/>
    <w:rsid w:val="00F33D8E"/>
    <w:rsid w:val="00F36C18"/>
    <w:rsid w:val="00F41386"/>
    <w:rsid w:val="00F47894"/>
    <w:rsid w:val="00F5014B"/>
    <w:rsid w:val="00F55C2B"/>
    <w:rsid w:val="00F55E91"/>
    <w:rsid w:val="00F56D02"/>
    <w:rsid w:val="00F6370F"/>
    <w:rsid w:val="00F65495"/>
    <w:rsid w:val="00F65FC5"/>
    <w:rsid w:val="00F66BBC"/>
    <w:rsid w:val="00F715C3"/>
    <w:rsid w:val="00F717D8"/>
    <w:rsid w:val="00F7329C"/>
    <w:rsid w:val="00F815E9"/>
    <w:rsid w:val="00F83404"/>
    <w:rsid w:val="00F90C19"/>
    <w:rsid w:val="00F97AE3"/>
    <w:rsid w:val="00FA08FF"/>
    <w:rsid w:val="00FA4882"/>
    <w:rsid w:val="00FB5C74"/>
    <w:rsid w:val="00FB70A0"/>
    <w:rsid w:val="00FC1D70"/>
    <w:rsid w:val="00FC51CA"/>
    <w:rsid w:val="00FD064B"/>
    <w:rsid w:val="00FD0A60"/>
    <w:rsid w:val="00FD5A06"/>
    <w:rsid w:val="00FD738C"/>
    <w:rsid w:val="00FE10DE"/>
    <w:rsid w:val="00FE2389"/>
    <w:rsid w:val="00FF098B"/>
    <w:rsid w:val="00FF2241"/>
    <w:rsid w:val="00FF3BE5"/>
    <w:rsid w:val="00FF467F"/>
    <w:rsid w:val="00FF6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9"/>
  </w:style>
  <w:style w:type="paragraph" w:styleId="Heading1">
    <w:name w:val="heading 1"/>
    <w:basedOn w:val="Normal"/>
    <w:next w:val="Normal"/>
    <w:link w:val="Heading1Char"/>
    <w:uiPriority w:val="9"/>
    <w:qFormat/>
    <w:rsid w:val="00901E5B"/>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01E5B"/>
    <w:pPr>
      <w:keepNext/>
      <w:spacing w:after="0" w:line="240" w:lineRule="auto"/>
      <w:ind w:right="18"/>
      <w:jc w:val="center"/>
      <w:outlineLvl w:val="1"/>
    </w:pPr>
    <w:rPr>
      <w:rFonts w:eastAsia="Times New Roman"/>
      <w:b/>
      <w:sz w:val="28"/>
      <w:szCs w:val="20"/>
    </w:rPr>
  </w:style>
  <w:style w:type="paragraph" w:styleId="Heading3">
    <w:name w:val="heading 3"/>
    <w:basedOn w:val="Normal"/>
    <w:next w:val="Normal"/>
    <w:link w:val="Heading3Char"/>
    <w:uiPriority w:val="9"/>
    <w:unhideWhenUsed/>
    <w:qFormat/>
    <w:rsid w:val="00901E5B"/>
    <w:pPr>
      <w:keepNext/>
      <w:spacing w:after="0" w:line="240" w:lineRule="auto"/>
      <w:outlineLvl w:val="2"/>
    </w:pPr>
    <w:rPr>
      <w:rFonts w:eastAsia="Calibri"/>
      <w:b/>
      <w:szCs w:val="24"/>
    </w:rPr>
  </w:style>
  <w:style w:type="paragraph" w:styleId="Heading4">
    <w:name w:val="heading 4"/>
    <w:basedOn w:val="Normal"/>
    <w:next w:val="Normal"/>
    <w:link w:val="Heading4Char"/>
    <w:uiPriority w:val="9"/>
    <w:unhideWhenUsed/>
    <w:qFormat/>
    <w:rsid w:val="00F90C19"/>
    <w:pPr>
      <w:keepNext/>
      <w:spacing w:after="0" w:line="360" w:lineRule="auto"/>
      <w:jc w:val="both"/>
      <w:outlineLvl w:val="3"/>
    </w:pPr>
    <w:rPr>
      <w:b/>
    </w:rPr>
  </w:style>
  <w:style w:type="paragraph" w:styleId="Heading5">
    <w:name w:val="heading 5"/>
    <w:basedOn w:val="Normal"/>
    <w:next w:val="Normal"/>
    <w:link w:val="Heading5Char"/>
    <w:uiPriority w:val="9"/>
    <w:unhideWhenUsed/>
    <w:qFormat/>
    <w:rsid w:val="001566C7"/>
    <w:pPr>
      <w:keepNext/>
      <w:spacing w:after="0" w:line="240" w:lineRule="auto"/>
      <w:jc w:val="center"/>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15"/>
    <w:rPr>
      <w:rFonts w:ascii="Tahoma" w:hAnsi="Tahoma" w:cs="Tahoma"/>
      <w:sz w:val="16"/>
      <w:szCs w:val="16"/>
    </w:rPr>
  </w:style>
  <w:style w:type="character" w:styleId="Hyperlink">
    <w:name w:val="Hyperlink"/>
    <w:basedOn w:val="DefaultParagraphFont"/>
    <w:uiPriority w:val="99"/>
    <w:unhideWhenUsed/>
    <w:rsid w:val="00EA2177"/>
    <w:rPr>
      <w:color w:val="0563C1" w:themeColor="hyperlink"/>
      <w:u w:val="single"/>
    </w:rPr>
  </w:style>
  <w:style w:type="character" w:customStyle="1" w:styleId="Heading1Char">
    <w:name w:val="Heading 1 Char"/>
    <w:basedOn w:val="DefaultParagraphFont"/>
    <w:link w:val="Heading1"/>
    <w:uiPriority w:val="9"/>
    <w:rsid w:val="00901E5B"/>
    <w:rPr>
      <w:rFonts w:ascii="Cambria" w:eastAsia="Times New Roman" w:hAnsi="Cambria"/>
      <w:b/>
      <w:bCs/>
      <w:kern w:val="32"/>
      <w:sz w:val="32"/>
      <w:szCs w:val="32"/>
    </w:rPr>
  </w:style>
  <w:style w:type="character" w:customStyle="1" w:styleId="Heading2Char">
    <w:name w:val="Heading 2 Char"/>
    <w:basedOn w:val="DefaultParagraphFont"/>
    <w:link w:val="Heading2"/>
    <w:rsid w:val="00901E5B"/>
    <w:rPr>
      <w:rFonts w:eastAsia="Times New Roman"/>
      <w:b/>
      <w:sz w:val="28"/>
      <w:szCs w:val="20"/>
    </w:rPr>
  </w:style>
  <w:style w:type="character" w:customStyle="1" w:styleId="Heading3Char">
    <w:name w:val="Heading 3 Char"/>
    <w:basedOn w:val="DefaultParagraphFont"/>
    <w:link w:val="Heading3"/>
    <w:uiPriority w:val="9"/>
    <w:rsid w:val="00901E5B"/>
    <w:rPr>
      <w:rFonts w:eastAsia="Calibri"/>
      <w:b/>
      <w:szCs w:val="24"/>
    </w:rPr>
  </w:style>
  <w:style w:type="paragraph" w:styleId="ListParagraph">
    <w:name w:val="List Paragraph"/>
    <w:basedOn w:val="Normal"/>
    <w:uiPriority w:val="34"/>
    <w:qFormat/>
    <w:rsid w:val="00901E5B"/>
    <w:pPr>
      <w:spacing w:after="200" w:line="276" w:lineRule="auto"/>
      <w:ind w:left="720"/>
      <w:contextualSpacing/>
    </w:pPr>
    <w:rPr>
      <w:rFonts w:ascii="Calibri" w:eastAsia="Calibri" w:hAnsi="Calibri"/>
      <w:sz w:val="22"/>
    </w:rPr>
  </w:style>
  <w:style w:type="paragraph" w:customStyle="1" w:styleId="Default">
    <w:name w:val="Default"/>
    <w:rsid w:val="00901E5B"/>
    <w:pPr>
      <w:autoSpaceDE w:val="0"/>
      <w:autoSpaceDN w:val="0"/>
      <w:adjustRightInd w:val="0"/>
      <w:spacing w:after="0" w:line="240" w:lineRule="auto"/>
    </w:pPr>
    <w:rPr>
      <w:rFonts w:ascii="Gill Sans MT" w:eastAsia="Calibri" w:hAnsi="Gill Sans MT" w:cs="Gill Sans MT"/>
      <w:color w:val="000000"/>
      <w:szCs w:val="24"/>
    </w:rPr>
  </w:style>
  <w:style w:type="character" w:customStyle="1" w:styleId="A6">
    <w:name w:val="A6"/>
    <w:uiPriority w:val="99"/>
    <w:rsid w:val="00901E5B"/>
    <w:rPr>
      <w:rFonts w:cs="Gill Sans MT"/>
      <w:color w:val="000000"/>
      <w:sz w:val="48"/>
      <w:szCs w:val="48"/>
    </w:rPr>
  </w:style>
  <w:style w:type="paragraph" w:styleId="Header">
    <w:name w:val="header"/>
    <w:basedOn w:val="Normal"/>
    <w:link w:val="HeaderChar"/>
    <w:uiPriority w:val="99"/>
    <w:unhideWhenUsed/>
    <w:rsid w:val="00901E5B"/>
    <w:pPr>
      <w:tabs>
        <w:tab w:val="center" w:pos="4680"/>
        <w:tab w:val="right" w:pos="9360"/>
      </w:tabs>
      <w:spacing w:after="200" w:line="276" w:lineRule="auto"/>
    </w:pPr>
    <w:rPr>
      <w:rFonts w:ascii="Calibri" w:eastAsia="Calibri" w:hAnsi="Calibri"/>
      <w:sz w:val="22"/>
    </w:rPr>
  </w:style>
  <w:style w:type="character" w:customStyle="1" w:styleId="HeaderChar">
    <w:name w:val="Header Char"/>
    <w:basedOn w:val="DefaultParagraphFont"/>
    <w:link w:val="Header"/>
    <w:uiPriority w:val="99"/>
    <w:rsid w:val="00901E5B"/>
    <w:rPr>
      <w:rFonts w:ascii="Calibri" w:eastAsia="Calibri" w:hAnsi="Calibri"/>
      <w:sz w:val="22"/>
    </w:rPr>
  </w:style>
  <w:style w:type="paragraph" w:styleId="Footer">
    <w:name w:val="footer"/>
    <w:basedOn w:val="Normal"/>
    <w:link w:val="FooterChar"/>
    <w:uiPriority w:val="99"/>
    <w:unhideWhenUsed/>
    <w:rsid w:val="00901E5B"/>
    <w:pPr>
      <w:tabs>
        <w:tab w:val="center" w:pos="4680"/>
        <w:tab w:val="right" w:pos="9360"/>
      </w:tabs>
      <w:spacing w:after="200" w:line="276" w:lineRule="auto"/>
    </w:pPr>
    <w:rPr>
      <w:rFonts w:ascii="Calibri" w:eastAsia="Calibri" w:hAnsi="Calibri"/>
      <w:sz w:val="22"/>
    </w:rPr>
  </w:style>
  <w:style w:type="character" w:customStyle="1" w:styleId="FooterChar">
    <w:name w:val="Footer Char"/>
    <w:basedOn w:val="DefaultParagraphFont"/>
    <w:link w:val="Footer"/>
    <w:uiPriority w:val="99"/>
    <w:rsid w:val="00901E5B"/>
    <w:rPr>
      <w:rFonts w:ascii="Calibri" w:eastAsia="Calibri" w:hAnsi="Calibri"/>
      <w:sz w:val="22"/>
    </w:rPr>
  </w:style>
  <w:style w:type="character" w:customStyle="1" w:styleId="A4">
    <w:name w:val="A4"/>
    <w:uiPriority w:val="99"/>
    <w:rsid w:val="00901E5B"/>
    <w:rPr>
      <w:color w:val="000000"/>
      <w:sz w:val="16"/>
      <w:szCs w:val="16"/>
    </w:rPr>
  </w:style>
  <w:style w:type="character" w:customStyle="1" w:styleId="sup">
    <w:name w:val="sup"/>
    <w:rsid w:val="00901E5B"/>
  </w:style>
  <w:style w:type="character" w:customStyle="1" w:styleId="italic">
    <w:name w:val="italic"/>
    <w:rsid w:val="00901E5B"/>
  </w:style>
  <w:style w:type="character" w:customStyle="1" w:styleId="A7">
    <w:name w:val="A7"/>
    <w:uiPriority w:val="99"/>
    <w:rsid w:val="00901E5B"/>
    <w:rPr>
      <w:rFonts w:cs="Gill Sans MT"/>
      <w:color w:val="000000"/>
      <w:sz w:val="20"/>
      <w:szCs w:val="20"/>
    </w:rPr>
  </w:style>
  <w:style w:type="paragraph" w:styleId="BodyText">
    <w:name w:val="Body Text"/>
    <w:basedOn w:val="Normal"/>
    <w:link w:val="BodyTextChar"/>
    <w:uiPriority w:val="99"/>
    <w:unhideWhenUsed/>
    <w:rsid w:val="00901E5B"/>
    <w:pPr>
      <w:spacing w:after="0" w:line="240" w:lineRule="auto"/>
    </w:pPr>
    <w:rPr>
      <w:rFonts w:eastAsia="Calibri"/>
      <w:szCs w:val="24"/>
    </w:rPr>
  </w:style>
  <w:style w:type="character" w:customStyle="1" w:styleId="BodyTextChar">
    <w:name w:val="Body Text Char"/>
    <w:basedOn w:val="DefaultParagraphFont"/>
    <w:link w:val="BodyText"/>
    <w:uiPriority w:val="99"/>
    <w:rsid w:val="00901E5B"/>
    <w:rPr>
      <w:rFonts w:eastAsia="Calibri"/>
      <w:szCs w:val="24"/>
    </w:rPr>
  </w:style>
  <w:style w:type="paragraph" w:styleId="BodyText2">
    <w:name w:val="Body Text 2"/>
    <w:basedOn w:val="Normal"/>
    <w:link w:val="BodyText2Char"/>
    <w:uiPriority w:val="99"/>
    <w:unhideWhenUsed/>
    <w:rsid w:val="00901E5B"/>
    <w:pPr>
      <w:spacing w:before="240" w:after="240" w:line="360" w:lineRule="auto"/>
      <w:jc w:val="both"/>
    </w:pPr>
    <w:rPr>
      <w:rFonts w:eastAsia="Calibri"/>
      <w:szCs w:val="24"/>
    </w:rPr>
  </w:style>
  <w:style w:type="character" w:customStyle="1" w:styleId="BodyText2Char">
    <w:name w:val="Body Text 2 Char"/>
    <w:basedOn w:val="DefaultParagraphFont"/>
    <w:link w:val="BodyText2"/>
    <w:uiPriority w:val="99"/>
    <w:rsid w:val="00901E5B"/>
    <w:rPr>
      <w:rFonts w:eastAsia="Calibri"/>
      <w:szCs w:val="24"/>
    </w:rPr>
  </w:style>
  <w:style w:type="character" w:styleId="CommentReference">
    <w:name w:val="annotation reference"/>
    <w:uiPriority w:val="99"/>
    <w:semiHidden/>
    <w:unhideWhenUsed/>
    <w:rsid w:val="00901E5B"/>
    <w:rPr>
      <w:sz w:val="16"/>
      <w:szCs w:val="16"/>
    </w:rPr>
  </w:style>
  <w:style w:type="paragraph" w:styleId="CommentText">
    <w:name w:val="annotation text"/>
    <w:basedOn w:val="Normal"/>
    <w:link w:val="CommentTextChar"/>
    <w:uiPriority w:val="99"/>
    <w:unhideWhenUsed/>
    <w:rsid w:val="00901E5B"/>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01E5B"/>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901E5B"/>
    <w:rPr>
      <w:b/>
      <w:bCs/>
    </w:rPr>
  </w:style>
  <w:style w:type="character" w:customStyle="1" w:styleId="CommentSubjectChar">
    <w:name w:val="Comment Subject Char"/>
    <w:basedOn w:val="CommentTextChar"/>
    <w:link w:val="CommentSubject"/>
    <w:uiPriority w:val="99"/>
    <w:semiHidden/>
    <w:rsid w:val="00901E5B"/>
    <w:rPr>
      <w:rFonts w:ascii="Calibri" w:eastAsia="Calibri" w:hAnsi="Calibri"/>
      <w:b/>
      <w:bCs/>
      <w:sz w:val="20"/>
      <w:szCs w:val="20"/>
    </w:rPr>
  </w:style>
  <w:style w:type="paragraph" w:styleId="Revision">
    <w:name w:val="Revision"/>
    <w:hidden/>
    <w:uiPriority w:val="99"/>
    <w:semiHidden/>
    <w:rsid w:val="00901E5B"/>
    <w:pPr>
      <w:spacing w:after="0" w:line="240" w:lineRule="auto"/>
    </w:pPr>
    <w:rPr>
      <w:rFonts w:ascii="Calibri" w:eastAsia="Calibri" w:hAnsi="Calibri"/>
      <w:sz w:val="22"/>
    </w:rPr>
  </w:style>
  <w:style w:type="paragraph" w:styleId="Caption">
    <w:name w:val="caption"/>
    <w:basedOn w:val="Normal"/>
    <w:next w:val="Normal"/>
    <w:unhideWhenUsed/>
    <w:qFormat/>
    <w:rsid w:val="007430F3"/>
    <w:pPr>
      <w:spacing w:after="200" w:line="240" w:lineRule="auto"/>
    </w:pPr>
    <w:rPr>
      <w:rFonts w:asciiTheme="minorHAnsi" w:hAnsiTheme="minorHAnsi"/>
      <w:b/>
      <w:color w:val="4472C4" w:themeColor="accent1"/>
      <w:sz w:val="18"/>
      <w:szCs w:val="18"/>
    </w:rPr>
  </w:style>
  <w:style w:type="character" w:customStyle="1" w:styleId="fontstyle01">
    <w:name w:val="fontstyle01"/>
    <w:basedOn w:val="DefaultParagraphFont"/>
    <w:rsid w:val="00EC2E9E"/>
    <w:rPr>
      <w:rFonts w:ascii="STIX-Regular" w:hAnsi="STIX-Regular" w:hint="default"/>
      <w:b w:val="0"/>
      <w:bCs w:val="0"/>
      <w:i w:val="0"/>
      <w:iCs w:val="0"/>
      <w:color w:val="000000"/>
      <w:sz w:val="20"/>
      <w:szCs w:val="20"/>
    </w:rPr>
  </w:style>
  <w:style w:type="paragraph" w:styleId="BodyTextIndent">
    <w:name w:val="Body Text Indent"/>
    <w:basedOn w:val="Normal"/>
    <w:link w:val="BodyTextIndentChar"/>
    <w:uiPriority w:val="99"/>
    <w:unhideWhenUsed/>
    <w:rsid w:val="00A64813"/>
    <w:pPr>
      <w:autoSpaceDE w:val="0"/>
      <w:autoSpaceDN w:val="0"/>
      <w:adjustRightInd w:val="0"/>
      <w:spacing w:after="0" w:line="360" w:lineRule="auto"/>
      <w:ind w:left="720" w:hanging="720"/>
      <w:jc w:val="both"/>
    </w:pPr>
    <w:rPr>
      <w:szCs w:val="24"/>
    </w:rPr>
  </w:style>
  <w:style w:type="character" w:customStyle="1" w:styleId="BodyTextIndentChar">
    <w:name w:val="Body Text Indent Char"/>
    <w:basedOn w:val="DefaultParagraphFont"/>
    <w:link w:val="BodyTextIndent"/>
    <w:uiPriority w:val="99"/>
    <w:rsid w:val="00A64813"/>
    <w:rPr>
      <w:szCs w:val="24"/>
    </w:rPr>
  </w:style>
  <w:style w:type="character" w:customStyle="1" w:styleId="Heading4Char">
    <w:name w:val="Heading 4 Char"/>
    <w:basedOn w:val="DefaultParagraphFont"/>
    <w:link w:val="Heading4"/>
    <w:uiPriority w:val="9"/>
    <w:rsid w:val="00F90C19"/>
    <w:rPr>
      <w:b/>
    </w:rPr>
  </w:style>
  <w:style w:type="paragraph" w:styleId="BodyText3">
    <w:name w:val="Body Text 3"/>
    <w:basedOn w:val="Normal"/>
    <w:link w:val="BodyText3Char"/>
    <w:uiPriority w:val="99"/>
    <w:unhideWhenUsed/>
    <w:rsid w:val="0054643E"/>
    <w:pPr>
      <w:spacing w:after="0" w:line="240" w:lineRule="auto"/>
    </w:pPr>
    <w:rPr>
      <w:i/>
      <w:szCs w:val="24"/>
    </w:rPr>
  </w:style>
  <w:style w:type="character" w:customStyle="1" w:styleId="BodyText3Char">
    <w:name w:val="Body Text 3 Char"/>
    <w:basedOn w:val="DefaultParagraphFont"/>
    <w:link w:val="BodyText3"/>
    <w:uiPriority w:val="99"/>
    <w:rsid w:val="0054643E"/>
    <w:rPr>
      <w:i/>
      <w:szCs w:val="24"/>
    </w:rPr>
  </w:style>
  <w:style w:type="character" w:customStyle="1" w:styleId="Heading5Char">
    <w:name w:val="Heading 5 Char"/>
    <w:basedOn w:val="DefaultParagraphFont"/>
    <w:link w:val="Heading5"/>
    <w:uiPriority w:val="9"/>
    <w:rsid w:val="001566C7"/>
    <w:rPr>
      <w:b/>
      <w:szCs w:val="24"/>
    </w:rPr>
  </w:style>
  <w:style w:type="paragraph" w:styleId="NoSpacing">
    <w:name w:val="No Spacing"/>
    <w:uiPriority w:val="1"/>
    <w:qFormat/>
    <w:rsid w:val="00CB36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C99"/>
  </w:style>
  <w:style w:type="paragraph" w:styleId="Heading1">
    <w:name w:val="heading 1"/>
    <w:basedOn w:val="Normal"/>
    <w:next w:val="Normal"/>
    <w:link w:val="Heading1Char"/>
    <w:uiPriority w:val="9"/>
    <w:qFormat/>
    <w:rsid w:val="00901E5B"/>
    <w:pPr>
      <w:keepNext/>
      <w:spacing w:before="240" w:after="60" w:line="276"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01E5B"/>
    <w:pPr>
      <w:keepNext/>
      <w:spacing w:after="0" w:line="240" w:lineRule="auto"/>
      <w:ind w:right="18"/>
      <w:jc w:val="center"/>
      <w:outlineLvl w:val="1"/>
    </w:pPr>
    <w:rPr>
      <w:rFonts w:eastAsia="Times New Roman"/>
      <w:b/>
      <w:sz w:val="28"/>
      <w:szCs w:val="20"/>
    </w:rPr>
  </w:style>
  <w:style w:type="paragraph" w:styleId="Heading3">
    <w:name w:val="heading 3"/>
    <w:basedOn w:val="Normal"/>
    <w:next w:val="Normal"/>
    <w:link w:val="Heading3Char"/>
    <w:uiPriority w:val="9"/>
    <w:unhideWhenUsed/>
    <w:qFormat/>
    <w:rsid w:val="00901E5B"/>
    <w:pPr>
      <w:keepNext/>
      <w:spacing w:after="0" w:line="240" w:lineRule="auto"/>
      <w:outlineLvl w:val="2"/>
    </w:pPr>
    <w:rPr>
      <w:rFonts w:eastAsia="Calibri"/>
      <w:b/>
      <w:szCs w:val="24"/>
    </w:rPr>
  </w:style>
  <w:style w:type="paragraph" w:styleId="Heading4">
    <w:name w:val="heading 4"/>
    <w:basedOn w:val="Normal"/>
    <w:next w:val="Normal"/>
    <w:link w:val="Heading4Char"/>
    <w:uiPriority w:val="9"/>
    <w:unhideWhenUsed/>
    <w:qFormat/>
    <w:rsid w:val="00F90C19"/>
    <w:pPr>
      <w:keepNext/>
      <w:spacing w:after="0" w:line="360" w:lineRule="auto"/>
      <w:jc w:val="both"/>
      <w:outlineLvl w:val="3"/>
    </w:pPr>
    <w:rPr>
      <w:b/>
    </w:rPr>
  </w:style>
  <w:style w:type="paragraph" w:styleId="Heading5">
    <w:name w:val="heading 5"/>
    <w:basedOn w:val="Normal"/>
    <w:next w:val="Normal"/>
    <w:link w:val="Heading5Char"/>
    <w:uiPriority w:val="9"/>
    <w:unhideWhenUsed/>
    <w:qFormat/>
    <w:rsid w:val="001566C7"/>
    <w:pPr>
      <w:keepNext/>
      <w:spacing w:after="0" w:line="240" w:lineRule="auto"/>
      <w:jc w:val="center"/>
      <w:outlineLvl w:val="4"/>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15"/>
    <w:rPr>
      <w:rFonts w:ascii="Tahoma" w:hAnsi="Tahoma" w:cs="Tahoma"/>
      <w:sz w:val="16"/>
      <w:szCs w:val="16"/>
    </w:rPr>
  </w:style>
  <w:style w:type="character" w:styleId="Hyperlink">
    <w:name w:val="Hyperlink"/>
    <w:basedOn w:val="DefaultParagraphFont"/>
    <w:uiPriority w:val="99"/>
    <w:unhideWhenUsed/>
    <w:rsid w:val="00EA2177"/>
    <w:rPr>
      <w:color w:val="0563C1" w:themeColor="hyperlink"/>
      <w:u w:val="single"/>
    </w:rPr>
  </w:style>
  <w:style w:type="character" w:customStyle="1" w:styleId="Heading1Char">
    <w:name w:val="Heading 1 Char"/>
    <w:basedOn w:val="DefaultParagraphFont"/>
    <w:link w:val="Heading1"/>
    <w:uiPriority w:val="9"/>
    <w:rsid w:val="00901E5B"/>
    <w:rPr>
      <w:rFonts w:ascii="Cambria" w:eastAsia="Times New Roman" w:hAnsi="Cambria"/>
      <w:b/>
      <w:bCs/>
      <w:kern w:val="32"/>
      <w:sz w:val="32"/>
      <w:szCs w:val="32"/>
    </w:rPr>
  </w:style>
  <w:style w:type="character" w:customStyle="1" w:styleId="Heading2Char">
    <w:name w:val="Heading 2 Char"/>
    <w:basedOn w:val="DefaultParagraphFont"/>
    <w:link w:val="Heading2"/>
    <w:rsid w:val="00901E5B"/>
    <w:rPr>
      <w:rFonts w:eastAsia="Times New Roman"/>
      <w:b/>
      <w:sz w:val="28"/>
      <w:szCs w:val="20"/>
    </w:rPr>
  </w:style>
  <w:style w:type="character" w:customStyle="1" w:styleId="Heading3Char">
    <w:name w:val="Heading 3 Char"/>
    <w:basedOn w:val="DefaultParagraphFont"/>
    <w:link w:val="Heading3"/>
    <w:uiPriority w:val="9"/>
    <w:rsid w:val="00901E5B"/>
    <w:rPr>
      <w:rFonts w:eastAsia="Calibri"/>
      <w:b/>
      <w:szCs w:val="24"/>
    </w:rPr>
  </w:style>
  <w:style w:type="paragraph" w:styleId="ListParagraph">
    <w:name w:val="List Paragraph"/>
    <w:basedOn w:val="Normal"/>
    <w:uiPriority w:val="34"/>
    <w:qFormat/>
    <w:rsid w:val="00901E5B"/>
    <w:pPr>
      <w:spacing w:after="200" w:line="276" w:lineRule="auto"/>
      <w:ind w:left="720"/>
      <w:contextualSpacing/>
    </w:pPr>
    <w:rPr>
      <w:rFonts w:ascii="Calibri" w:eastAsia="Calibri" w:hAnsi="Calibri"/>
      <w:sz w:val="22"/>
    </w:rPr>
  </w:style>
  <w:style w:type="paragraph" w:customStyle="1" w:styleId="Default">
    <w:name w:val="Default"/>
    <w:rsid w:val="00901E5B"/>
    <w:pPr>
      <w:autoSpaceDE w:val="0"/>
      <w:autoSpaceDN w:val="0"/>
      <w:adjustRightInd w:val="0"/>
      <w:spacing w:after="0" w:line="240" w:lineRule="auto"/>
    </w:pPr>
    <w:rPr>
      <w:rFonts w:ascii="Gill Sans MT" w:eastAsia="Calibri" w:hAnsi="Gill Sans MT" w:cs="Gill Sans MT"/>
      <w:color w:val="000000"/>
      <w:szCs w:val="24"/>
    </w:rPr>
  </w:style>
  <w:style w:type="character" w:customStyle="1" w:styleId="A6">
    <w:name w:val="A6"/>
    <w:uiPriority w:val="99"/>
    <w:rsid w:val="00901E5B"/>
    <w:rPr>
      <w:rFonts w:cs="Gill Sans MT"/>
      <w:color w:val="000000"/>
      <w:sz w:val="48"/>
      <w:szCs w:val="48"/>
    </w:rPr>
  </w:style>
  <w:style w:type="paragraph" w:styleId="Header">
    <w:name w:val="header"/>
    <w:basedOn w:val="Normal"/>
    <w:link w:val="HeaderChar"/>
    <w:uiPriority w:val="99"/>
    <w:unhideWhenUsed/>
    <w:rsid w:val="00901E5B"/>
    <w:pPr>
      <w:tabs>
        <w:tab w:val="center" w:pos="4680"/>
        <w:tab w:val="right" w:pos="9360"/>
      </w:tabs>
      <w:spacing w:after="200" w:line="276" w:lineRule="auto"/>
    </w:pPr>
    <w:rPr>
      <w:rFonts w:ascii="Calibri" w:eastAsia="Calibri" w:hAnsi="Calibri"/>
      <w:sz w:val="22"/>
    </w:rPr>
  </w:style>
  <w:style w:type="character" w:customStyle="1" w:styleId="HeaderChar">
    <w:name w:val="Header Char"/>
    <w:basedOn w:val="DefaultParagraphFont"/>
    <w:link w:val="Header"/>
    <w:uiPriority w:val="99"/>
    <w:rsid w:val="00901E5B"/>
    <w:rPr>
      <w:rFonts w:ascii="Calibri" w:eastAsia="Calibri" w:hAnsi="Calibri"/>
      <w:sz w:val="22"/>
    </w:rPr>
  </w:style>
  <w:style w:type="paragraph" w:styleId="Footer">
    <w:name w:val="footer"/>
    <w:basedOn w:val="Normal"/>
    <w:link w:val="FooterChar"/>
    <w:uiPriority w:val="99"/>
    <w:unhideWhenUsed/>
    <w:rsid w:val="00901E5B"/>
    <w:pPr>
      <w:tabs>
        <w:tab w:val="center" w:pos="4680"/>
        <w:tab w:val="right" w:pos="9360"/>
      </w:tabs>
      <w:spacing w:after="200" w:line="276" w:lineRule="auto"/>
    </w:pPr>
    <w:rPr>
      <w:rFonts w:ascii="Calibri" w:eastAsia="Calibri" w:hAnsi="Calibri"/>
      <w:sz w:val="22"/>
    </w:rPr>
  </w:style>
  <w:style w:type="character" w:customStyle="1" w:styleId="FooterChar">
    <w:name w:val="Footer Char"/>
    <w:basedOn w:val="DefaultParagraphFont"/>
    <w:link w:val="Footer"/>
    <w:uiPriority w:val="99"/>
    <w:rsid w:val="00901E5B"/>
    <w:rPr>
      <w:rFonts w:ascii="Calibri" w:eastAsia="Calibri" w:hAnsi="Calibri"/>
      <w:sz w:val="22"/>
    </w:rPr>
  </w:style>
  <w:style w:type="character" w:customStyle="1" w:styleId="A4">
    <w:name w:val="A4"/>
    <w:uiPriority w:val="99"/>
    <w:rsid w:val="00901E5B"/>
    <w:rPr>
      <w:color w:val="000000"/>
      <w:sz w:val="16"/>
      <w:szCs w:val="16"/>
    </w:rPr>
  </w:style>
  <w:style w:type="character" w:customStyle="1" w:styleId="sup">
    <w:name w:val="sup"/>
    <w:rsid w:val="00901E5B"/>
  </w:style>
  <w:style w:type="character" w:customStyle="1" w:styleId="italic">
    <w:name w:val="italic"/>
    <w:rsid w:val="00901E5B"/>
  </w:style>
  <w:style w:type="character" w:customStyle="1" w:styleId="A7">
    <w:name w:val="A7"/>
    <w:uiPriority w:val="99"/>
    <w:rsid w:val="00901E5B"/>
    <w:rPr>
      <w:rFonts w:cs="Gill Sans MT"/>
      <w:color w:val="000000"/>
      <w:sz w:val="20"/>
      <w:szCs w:val="20"/>
    </w:rPr>
  </w:style>
  <w:style w:type="paragraph" w:styleId="BodyText">
    <w:name w:val="Body Text"/>
    <w:basedOn w:val="Normal"/>
    <w:link w:val="BodyTextChar"/>
    <w:uiPriority w:val="99"/>
    <w:unhideWhenUsed/>
    <w:rsid w:val="00901E5B"/>
    <w:pPr>
      <w:spacing w:after="0" w:line="240" w:lineRule="auto"/>
    </w:pPr>
    <w:rPr>
      <w:rFonts w:eastAsia="Calibri"/>
      <w:szCs w:val="24"/>
    </w:rPr>
  </w:style>
  <w:style w:type="character" w:customStyle="1" w:styleId="BodyTextChar">
    <w:name w:val="Body Text Char"/>
    <w:basedOn w:val="DefaultParagraphFont"/>
    <w:link w:val="BodyText"/>
    <w:uiPriority w:val="99"/>
    <w:rsid w:val="00901E5B"/>
    <w:rPr>
      <w:rFonts w:eastAsia="Calibri"/>
      <w:szCs w:val="24"/>
    </w:rPr>
  </w:style>
  <w:style w:type="paragraph" w:styleId="BodyText2">
    <w:name w:val="Body Text 2"/>
    <w:basedOn w:val="Normal"/>
    <w:link w:val="BodyText2Char"/>
    <w:uiPriority w:val="99"/>
    <w:unhideWhenUsed/>
    <w:rsid w:val="00901E5B"/>
    <w:pPr>
      <w:spacing w:before="240" w:after="240" w:line="360" w:lineRule="auto"/>
      <w:jc w:val="both"/>
    </w:pPr>
    <w:rPr>
      <w:rFonts w:eastAsia="Calibri"/>
      <w:szCs w:val="24"/>
    </w:rPr>
  </w:style>
  <w:style w:type="character" w:customStyle="1" w:styleId="BodyText2Char">
    <w:name w:val="Body Text 2 Char"/>
    <w:basedOn w:val="DefaultParagraphFont"/>
    <w:link w:val="BodyText2"/>
    <w:uiPriority w:val="99"/>
    <w:rsid w:val="00901E5B"/>
    <w:rPr>
      <w:rFonts w:eastAsia="Calibri"/>
      <w:szCs w:val="24"/>
    </w:rPr>
  </w:style>
  <w:style w:type="character" w:styleId="CommentReference">
    <w:name w:val="annotation reference"/>
    <w:uiPriority w:val="99"/>
    <w:semiHidden/>
    <w:unhideWhenUsed/>
    <w:rsid w:val="00901E5B"/>
    <w:rPr>
      <w:sz w:val="16"/>
      <w:szCs w:val="16"/>
    </w:rPr>
  </w:style>
  <w:style w:type="paragraph" w:styleId="CommentText">
    <w:name w:val="annotation text"/>
    <w:basedOn w:val="Normal"/>
    <w:link w:val="CommentTextChar"/>
    <w:uiPriority w:val="99"/>
    <w:unhideWhenUsed/>
    <w:rsid w:val="00901E5B"/>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901E5B"/>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901E5B"/>
    <w:rPr>
      <w:b/>
      <w:bCs/>
    </w:rPr>
  </w:style>
  <w:style w:type="character" w:customStyle="1" w:styleId="CommentSubjectChar">
    <w:name w:val="Comment Subject Char"/>
    <w:basedOn w:val="CommentTextChar"/>
    <w:link w:val="CommentSubject"/>
    <w:uiPriority w:val="99"/>
    <w:semiHidden/>
    <w:rsid w:val="00901E5B"/>
    <w:rPr>
      <w:rFonts w:ascii="Calibri" w:eastAsia="Calibri" w:hAnsi="Calibri"/>
      <w:b/>
      <w:bCs/>
      <w:sz w:val="20"/>
      <w:szCs w:val="20"/>
    </w:rPr>
  </w:style>
  <w:style w:type="paragraph" w:styleId="Revision">
    <w:name w:val="Revision"/>
    <w:hidden/>
    <w:uiPriority w:val="99"/>
    <w:semiHidden/>
    <w:rsid w:val="00901E5B"/>
    <w:pPr>
      <w:spacing w:after="0" w:line="240" w:lineRule="auto"/>
    </w:pPr>
    <w:rPr>
      <w:rFonts w:ascii="Calibri" w:eastAsia="Calibri" w:hAnsi="Calibri"/>
      <w:sz w:val="22"/>
    </w:rPr>
  </w:style>
  <w:style w:type="paragraph" w:styleId="Caption">
    <w:name w:val="caption"/>
    <w:basedOn w:val="Normal"/>
    <w:next w:val="Normal"/>
    <w:unhideWhenUsed/>
    <w:qFormat/>
    <w:rsid w:val="007430F3"/>
    <w:pPr>
      <w:spacing w:after="200" w:line="240" w:lineRule="auto"/>
    </w:pPr>
    <w:rPr>
      <w:rFonts w:asciiTheme="minorHAnsi" w:hAnsiTheme="minorHAnsi"/>
      <w:b/>
      <w:color w:val="4472C4" w:themeColor="accent1"/>
      <w:sz w:val="18"/>
      <w:szCs w:val="18"/>
    </w:rPr>
  </w:style>
  <w:style w:type="character" w:customStyle="1" w:styleId="fontstyle01">
    <w:name w:val="fontstyle01"/>
    <w:basedOn w:val="DefaultParagraphFont"/>
    <w:rsid w:val="00EC2E9E"/>
    <w:rPr>
      <w:rFonts w:ascii="STIX-Regular" w:hAnsi="STIX-Regular" w:hint="default"/>
      <w:b w:val="0"/>
      <w:bCs w:val="0"/>
      <w:i w:val="0"/>
      <w:iCs w:val="0"/>
      <w:color w:val="000000"/>
      <w:sz w:val="20"/>
      <w:szCs w:val="20"/>
    </w:rPr>
  </w:style>
  <w:style w:type="paragraph" w:styleId="BodyTextIndent">
    <w:name w:val="Body Text Indent"/>
    <w:basedOn w:val="Normal"/>
    <w:link w:val="BodyTextIndentChar"/>
    <w:uiPriority w:val="99"/>
    <w:unhideWhenUsed/>
    <w:rsid w:val="00A64813"/>
    <w:pPr>
      <w:autoSpaceDE w:val="0"/>
      <w:autoSpaceDN w:val="0"/>
      <w:adjustRightInd w:val="0"/>
      <w:spacing w:after="0" w:line="360" w:lineRule="auto"/>
      <w:ind w:left="720" w:hanging="720"/>
      <w:jc w:val="both"/>
    </w:pPr>
    <w:rPr>
      <w:szCs w:val="24"/>
    </w:rPr>
  </w:style>
  <w:style w:type="character" w:customStyle="1" w:styleId="BodyTextIndentChar">
    <w:name w:val="Body Text Indent Char"/>
    <w:basedOn w:val="DefaultParagraphFont"/>
    <w:link w:val="BodyTextIndent"/>
    <w:uiPriority w:val="99"/>
    <w:rsid w:val="00A64813"/>
    <w:rPr>
      <w:szCs w:val="24"/>
    </w:rPr>
  </w:style>
  <w:style w:type="character" w:customStyle="1" w:styleId="Heading4Char">
    <w:name w:val="Heading 4 Char"/>
    <w:basedOn w:val="DefaultParagraphFont"/>
    <w:link w:val="Heading4"/>
    <w:uiPriority w:val="9"/>
    <w:rsid w:val="00F90C19"/>
    <w:rPr>
      <w:b/>
    </w:rPr>
  </w:style>
  <w:style w:type="paragraph" w:styleId="BodyText3">
    <w:name w:val="Body Text 3"/>
    <w:basedOn w:val="Normal"/>
    <w:link w:val="BodyText3Char"/>
    <w:uiPriority w:val="99"/>
    <w:unhideWhenUsed/>
    <w:rsid w:val="0054643E"/>
    <w:pPr>
      <w:spacing w:after="0" w:line="240" w:lineRule="auto"/>
    </w:pPr>
    <w:rPr>
      <w:i/>
      <w:szCs w:val="24"/>
    </w:rPr>
  </w:style>
  <w:style w:type="character" w:customStyle="1" w:styleId="BodyText3Char">
    <w:name w:val="Body Text 3 Char"/>
    <w:basedOn w:val="DefaultParagraphFont"/>
    <w:link w:val="BodyText3"/>
    <w:uiPriority w:val="99"/>
    <w:rsid w:val="0054643E"/>
    <w:rPr>
      <w:i/>
      <w:szCs w:val="24"/>
    </w:rPr>
  </w:style>
  <w:style w:type="character" w:customStyle="1" w:styleId="Heading5Char">
    <w:name w:val="Heading 5 Char"/>
    <w:basedOn w:val="DefaultParagraphFont"/>
    <w:link w:val="Heading5"/>
    <w:uiPriority w:val="9"/>
    <w:rsid w:val="001566C7"/>
    <w:rPr>
      <w:b/>
      <w:szCs w:val="24"/>
    </w:rPr>
  </w:style>
  <w:style w:type="paragraph" w:styleId="NoSpacing">
    <w:name w:val="No Spacing"/>
    <w:uiPriority w:val="1"/>
    <w:qFormat/>
    <w:rsid w:val="00CB3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9776">
      <w:bodyDiv w:val="1"/>
      <w:marLeft w:val="0"/>
      <w:marRight w:val="0"/>
      <w:marTop w:val="0"/>
      <w:marBottom w:val="0"/>
      <w:divBdr>
        <w:top w:val="none" w:sz="0" w:space="0" w:color="auto"/>
        <w:left w:val="none" w:sz="0" w:space="0" w:color="auto"/>
        <w:bottom w:val="none" w:sz="0" w:space="0" w:color="auto"/>
        <w:right w:val="none" w:sz="0" w:space="0" w:color="auto"/>
      </w:divBdr>
    </w:div>
    <w:div w:id="247541046">
      <w:bodyDiv w:val="1"/>
      <w:marLeft w:val="0"/>
      <w:marRight w:val="0"/>
      <w:marTop w:val="0"/>
      <w:marBottom w:val="0"/>
      <w:divBdr>
        <w:top w:val="none" w:sz="0" w:space="0" w:color="auto"/>
        <w:left w:val="none" w:sz="0" w:space="0" w:color="auto"/>
        <w:bottom w:val="none" w:sz="0" w:space="0" w:color="auto"/>
        <w:right w:val="none" w:sz="0" w:space="0" w:color="auto"/>
      </w:divBdr>
    </w:div>
    <w:div w:id="478427256">
      <w:bodyDiv w:val="1"/>
      <w:marLeft w:val="0"/>
      <w:marRight w:val="0"/>
      <w:marTop w:val="0"/>
      <w:marBottom w:val="0"/>
      <w:divBdr>
        <w:top w:val="none" w:sz="0" w:space="0" w:color="auto"/>
        <w:left w:val="none" w:sz="0" w:space="0" w:color="auto"/>
        <w:bottom w:val="none" w:sz="0" w:space="0" w:color="auto"/>
        <w:right w:val="none" w:sz="0" w:space="0" w:color="auto"/>
      </w:divBdr>
    </w:div>
    <w:div w:id="669024133">
      <w:bodyDiv w:val="1"/>
      <w:marLeft w:val="0"/>
      <w:marRight w:val="0"/>
      <w:marTop w:val="0"/>
      <w:marBottom w:val="0"/>
      <w:divBdr>
        <w:top w:val="none" w:sz="0" w:space="0" w:color="auto"/>
        <w:left w:val="none" w:sz="0" w:space="0" w:color="auto"/>
        <w:bottom w:val="none" w:sz="0" w:space="0" w:color="auto"/>
        <w:right w:val="none" w:sz="0" w:space="0" w:color="auto"/>
      </w:divBdr>
    </w:div>
    <w:div w:id="851409927">
      <w:bodyDiv w:val="1"/>
      <w:marLeft w:val="0"/>
      <w:marRight w:val="0"/>
      <w:marTop w:val="0"/>
      <w:marBottom w:val="0"/>
      <w:divBdr>
        <w:top w:val="none" w:sz="0" w:space="0" w:color="auto"/>
        <w:left w:val="none" w:sz="0" w:space="0" w:color="auto"/>
        <w:bottom w:val="none" w:sz="0" w:space="0" w:color="auto"/>
        <w:right w:val="none" w:sz="0" w:space="0" w:color="auto"/>
      </w:divBdr>
    </w:div>
    <w:div w:id="1067798099">
      <w:bodyDiv w:val="1"/>
      <w:marLeft w:val="0"/>
      <w:marRight w:val="0"/>
      <w:marTop w:val="0"/>
      <w:marBottom w:val="0"/>
      <w:divBdr>
        <w:top w:val="none" w:sz="0" w:space="0" w:color="auto"/>
        <w:left w:val="none" w:sz="0" w:space="0" w:color="auto"/>
        <w:bottom w:val="none" w:sz="0" w:space="0" w:color="auto"/>
        <w:right w:val="none" w:sz="0" w:space="0" w:color="auto"/>
      </w:divBdr>
    </w:div>
    <w:div w:id="1384913191">
      <w:bodyDiv w:val="1"/>
      <w:marLeft w:val="0"/>
      <w:marRight w:val="0"/>
      <w:marTop w:val="0"/>
      <w:marBottom w:val="0"/>
      <w:divBdr>
        <w:top w:val="none" w:sz="0" w:space="0" w:color="auto"/>
        <w:left w:val="none" w:sz="0" w:space="0" w:color="auto"/>
        <w:bottom w:val="none" w:sz="0" w:space="0" w:color="auto"/>
        <w:right w:val="none" w:sz="0" w:space="0" w:color="auto"/>
      </w:divBdr>
    </w:div>
    <w:div w:id="1464810853">
      <w:bodyDiv w:val="1"/>
      <w:marLeft w:val="0"/>
      <w:marRight w:val="0"/>
      <w:marTop w:val="0"/>
      <w:marBottom w:val="0"/>
      <w:divBdr>
        <w:top w:val="none" w:sz="0" w:space="0" w:color="auto"/>
        <w:left w:val="none" w:sz="0" w:space="0" w:color="auto"/>
        <w:bottom w:val="none" w:sz="0" w:space="0" w:color="auto"/>
        <w:right w:val="none" w:sz="0" w:space="0" w:color="auto"/>
      </w:divBdr>
    </w:div>
    <w:div w:id="1546746783">
      <w:bodyDiv w:val="1"/>
      <w:marLeft w:val="0"/>
      <w:marRight w:val="0"/>
      <w:marTop w:val="0"/>
      <w:marBottom w:val="0"/>
      <w:divBdr>
        <w:top w:val="none" w:sz="0" w:space="0" w:color="auto"/>
        <w:left w:val="none" w:sz="0" w:space="0" w:color="auto"/>
        <w:bottom w:val="none" w:sz="0" w:space="0" w:color="auto"/>
        <w:right w:val="none" w:sz="0" w:space="0" w:color="auto"/>
      </w:divBdr>
    </w:div>
    <w:div w:id="1852791894">
      <w:bodyDiv w:val="1"/>
      <w:marLeft w:val="0"/>
      <w:marRight w:val="0"/>
      <w:marTop w:val="0"/>
      <w:marBottom w:val="0"/>
      <w:divBdr>
        <w:top w:val="none" w:sz="0" w:space="0" w:color="auto"/>
        <w:left w:val="none" w:sz="0" w:space="0" w:color="auto"/>
        <w:bottom w:val="none" w:sz="0" w:space="0" w:color="auto"/>
        <w:right w:val="none" w:sz="0" w:space="0" w:color="auto"/>
      </w:divBdr>
      <w:divsChild>
        <w:div w:id="236477603">
          <w:marLeft w:val="547"/>
          <w:marRight w:val="0"/>
          <w:marTop w:val="154"/>
          <w:marBottom w:val="0"/>
          <w:divBdr>
            <w:top w:val="none" w:sz="0" w:space="0" w:color="auto"/>
            <w:left w:val="none" w:sz="0" w:space="0" w:color="auto"/>
            <w:bottom w:val="none" w:sz="0" w:space="0" w:color="auto"/>
            <w:right w:val="none" w:sz="0" w:space="0" w:color="auto"/>
          </w:divBdr>
        </w:div>
        <w:div w:id="874779777">
          <w:marLeft w:val="547"/>
          <w:marRight w:val="0"/>
          <w:marTop w:val="154"/>
          <w:marBottom w:val="0"/>
          <w:divBdr>
            <w:top w:val="none" w:sz="0" w:space="0" w:color="auto"/>
            <w:left w:val="none" w:sz="0" w:space="0" w:color="auto"/>
            <w:bottom w:val="none" w:sz="0" w:space="0" w:color="auto"/>
            <w:right w:val="none" w:sz="0" w:space="0" w:color="auto"/>
          </w:divBdr>
        </w:div>
        <w:div w:id="993723587">
          <w:marLeft w:val="547"/>
          <w:marRight w:val="0"/>
          <w:marTop w:val="154"/>
          <w:marBottom w:val="0"/>
          <w:divBdr>
            <w:top w:val="none" w:sz="0" w:space="0" w:color="auto"/>
            <w:left w:val="none" w:sz="0" w:space="0" w:color="auto"/>
            <w:bottom w:val="none" w:sz="0" w:space="0" w:color="auto"/>
            <w:right w:val="none" w:sz="0" w:space="0" w:color="auto"/>
          </w:divBdr>
        </w:div>
      </w:divsChild>
    </w:div>
    <w:div w:id="1995258221">
      <w:bodyDiv w:val="1"/>
      <w:marLeft w:val="0"/>
      <w:marRight w:val="0"/>
      <w:marTop w:val="0"/>
      <w:marBottom w:val="0"/>
      <w:divBdr>
        <w:top w:val="none" w:sz="0" w:space="0" w:color="auto"/>
        <w:left w:val="none" w:sz="0" w:space="0" w:color="auto"/>
        <w:bottom w:val="none" w:sz="0" w:space="0" w:color="auto"/>
        <w:right w:val="none" w:sz="0" w:space="0" w:color="auto"/>
      </w:divBdr>
    </w:div>
    <w:div w:id="20491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1007/s40093-018-0198-6"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cribd.com/doc/134036957/Soils-Acid-Manage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114653351257927"/>
          <c:y val="9.2519165302357029E-2"/>
          <c:w val="0.80133626823851523"/>
          <c:h val="0.74309243522777502"/>
        </c:manualLayout>
      </c:layout>
      <c:barChart>
        <c:barDir val="col"/>
        <c:grouping val="clustered"/>
        <c:varyColors val="0"/>
        <c:ser>
          <c:idx val="0"/>
          <c:order val="0"/>
          <c:tx>
            <c:strRef>
              <c:f>Sheet1!$C$25</c:f>
              <c:strCache>
                <c:ptCount val="1"/>
                <c:pt idx="0">
                  <c:v>L0</c:v>
                </c:pt>
              </c:strCache>
            </c:strRef>
          </c:tx>
          <c:invertIfNegative val="0"/>
          <c:dLbls>
            <c:dLbl>
              <c:idx val="0"/>
              <c:layout>
                <c:manualLayout>
                  <c:x val="0"/>
                  <c:y val="2.032520325203252E-2"/>
                </c:manualLayout>
              </c:layout>
              <c:tx>
                <c:rich>
                  <a:bodyPr/>
                  <a:lstStyle/>
                  <a:p>
                    <a:pPr>
                      <a:defRPr/>
                    </a:pPr>
                    <a:r>
                      <a:rPr lang="en-US">
                        <a:latin typeface="Times New Roman" pitchFamily="18" charset="0"/>
                        <a:cs typeface="Times New Roman" pitchFamily="18" charset="0"/>
                      </a:rPr>
                      <a:t>*f</a:t>
                    </a:r>
                    <a:endParaRPr lang="en-US"/>
                  </a:p>
                </c:rich>
              </c:tx>
              <c:spPr/>
              <c:dLblPos val="outEnd"/>
              <c:showLegendKey val="0"/>
              <c:showVal val="0"/>
              <c:showCatName val="0"/>
              <c:showSerName val="0"/>
              <c:showPercent val="0"/>
              <c:showBubbleSize val="0"/>
            </c:dLbl>
            <c:dLbl>
              <c:idx val="1"/>
              <c:layout>
                <c:manualLayout>
                  <c:x val="0"/>
                  <c:y val="2.8455284552845538E-2"/>
                </c:manualLayout>
              </c:layout>
              <c:tx>
                <c:rich>
                  <a:bodyPr/>
                  <a:lstStyle/>
                  <a:p>
                    <a:pPr>
                      <a:defRPr/>
                    </a:pPr>
                    <a:r>
                      <a:rPr lang="en-US">
                        <a:latin typeface="Times New Roman" pitchFamily="18" charset="0"/>
                        <a:cs typeface="Times New Roman" pitchFamily="18" charset="0"/>
                      </a:rPr>
                      <a:t>f</a:t>
                    </a:r>
                    <a:endParaRPr lang="en-US"/>
                  </a:p>
                </c:rich>
              </c:tx>
              <c:spPr/>
              <c:dLblPos val="outEnd"/>
              <c:showLegendKey val="0"/>
              <c:showVal val="0"/>
              <c:showCatName val="0"/>
              <c:showSerName val="0"/>
              <c:showPercent val="0"/>
              <c:showBubbleSize val="0"/>
            </c:dLbl>
            <c:dLbl>
              <c:idx val="2"/>
              <c:layout>
                <c:manualLayout>
                  <c:x val="5.6737588652482291E-3"/>
                  <c:y val="2.8455284552845538E-2"/>
                </c:manualLayout>
              </c:layout>
              <c:tx>
                <c:rich>
                  <a:bodyPr/>
                  <a:lstStyle/>
                  <a:p>
                    <a:pPr>
                      <a:defRPr/>
                    </a:pPr>
                    <a:r>
                      <a:rPr lang="en-US">
                        <a:latin typeface="Times New Roman" pitchFamily="18" charset="0"/>
                        <a:cs typeface="Times New Roman" pitchFamily="18" charset="0"/>
                      </a:rPr>
                      <a:t>c-f</a:t>
                    </a:r>
                    <a:endParaRPr lang="en-US"/>
                  </a:p>
                </c:rich>
              </c:tx>
              <c:spPr/>
              <c:dLblPos val="outEnd"/>
              <c:showLegendKey val="0"/>
              <c:showVal val="0"/>
              <c:showCatName val="0"/>
              <c:showSerName val="0"/>
              <c:showPercent val="0"/>
              <c:showBubbleSize val="0"/>
            </c:dLbl>
            <c:dLbl>
              <c:idx val="3"/>
              <c:layout>
                <c:manualLayout>
                  <c:x val="2.8368794326240083E-3"/>
                  <c:y val="2.4390243902439025E-2"/>
                </c:manualLayout>
              </c:layout>
              <c:tx>
                <c:rich>
                  <a:bodyPr/>
                  <a:lstStyle/>
                  <a:p>
                    <a:pPr>
                      <a:defRPr/>
                    </a:pPr>
                    <a:r>
                      <a:rPr lang="en-US">
                        <a:latin typeface="Times New Roman" pitchFamily="18" charset="0"/>
                        <a:cs typeface="Times New Roman" pitchFamily="18" charset="0"/>
                      </a:rPr>
                      <a:t>cd</a:t>
                    </a:r>
                    <a:endParaRPr lang="en-US"/>
                  </a:p>
                </c:rich>
              </c:tx>
              <c:spPr/>
              <c:dLblPos val="outEnd"/>
              <c:showLegendKey val="0"/>
              <c:showVal val="0"/>
              <c:showCatName val="0"/>
              <c:showSerName val="0"/>
              <c:showPercent val="0"/>
              <c:showBubbleSize val="0"/>
            </c:dLbl>
            <c:showLegendKey val="0"/>
            <c:showVal val="1"/>
            <c:showCatName val="0"/>
            <c:showSerName val="0"/>
            <c:showPercent val="0"/>
            <c:showBubbleSize val="0"/>
            <c:showLeaderLines val="0"/>
          </c:dLbls>
          <c:cat>
            <c:strRef>
              <c:f>Sheet1!$B$26:$B$29</c:f>
              <c:strCache>
                <c:ptCount val="4"/>
                <c:pt idx="0">
                  <c:v>P0</c:v>
                </c:pt>
                <c:pt idx="1">
                  <c:v>P1</c:v>
                </c:pt>
                <c:pt idx="2">
                  <c:v>P2</c:v>
                </c:pt>
                <c:pt idx="3">
                  <c:v>P3</c:v>
                </c:pt>
              </c:strCache>
            </c:strRef>
          </c:cat>
          <c:val>
            <c:numRef>
              <c:f>Sheet1!$C$26:$C$29</c:f>
              <c:numCache>
                <c:formatCode>General</c:formatCode>
                <c:ptCount val="4"/>
                <c:pt idx="0">
                  <c:v>6.68</c:v>
                </c:pt>
                <c:pt idx="1">
                  <c:v>7.41</c:v>
                </c:pt>
                <c:pt idx="2">
                  <c:v>8.58</c:v>
                </c:pt>
                <c:pt idx="3">
                  <c:v>9.67</c:v>
                </c:pt>
              </c:numCache>
            </c:numRef>
          </c:val>
        </c:ser>
        <c:ser>
          <c:idx val="1"/>
          <c:order val="1"/>
          <c:tx>
            <c:strRef>
              <c:f>Sheet1!$D$25</c:f>
              <c:strCache>
                <c:ptCount val="1"/>
                <c:pt idx="0">
                  <c:v>L1</c:v>
                </c:pt>
              </c:strCache>
            </c:strRef>
          </c:tx>
          <c:invertIfNegative val="0"/>
          <c:dLbls>
            <c:dLbl>
              <c:idx val="0"/>
              <c:layout>
                <c:manualLayout>
                  <c:x val="0"/>
                  <c:y val="1.2195121951219513E-2"/>
                </c:manualLayout>
              </c:layout>
              <c:tx>
                <c:rich>
                  <a:bodyPr/>
                  <a:lstStyle/>
                  <a:p>
                    <a:pPr>
                      <a:defRPr/>
                    </a:pPr>
                    <a:r>
                      <a:rPr lang="en-US">
                        <a:latin typeface="Times New Roman" pitchFamily="18" charset="0"/>
                        <a:cs typeface="Times New Roman" pitchFamily="18" charset="0"/>
                      </a:rPr>
                      <a:t>f</a:t>
                    </a:r>
                    <a:endParaRPr lang="en-US"/>
                  </a:p>
                </c:rich>
              </c:tx>
              <c:spPr/>
              <c:dLblPos val="outEnd"/>
              <c:showLegendKey val="0"/>
              <c:showVal val="0"/>
              <c:showCatName val="0"/>
              <c:showSerName val="0"/>
              <c:showPercent val="0"/>
              <c:showBubbleSize val="0"/>
            </c:dLbl>
            <c:dLbl>
              <c:idx val="1"/>
              <c:tx>
                <c:rich>
                  <a:bodyPr/>
                  <a:lstStyle/>
                  <a:p>
                    <a:pPr>
                      <a:defRPr/>
                    </a:pPr>
                    <a:r>
                      <a:rPr lang="en-US">
                        <a:latin typeface="Times New Roman" pitchFamily="18" charset="0"/>
                        <a:cs typeface="Times New Roman" pitchFamily="18" charset="0"/>
                      </a:rPr>
                      <a:t>def</a:t>
                    </a:r>
                    <a:endParaRPr lang="en-US"/>
                  </a:p>
                </c:rich>
              </c:tx>
              <c:spPr/>
              <c:showLegendKey val="0"/>
              <c:showVal val="0"/>
              <c:showCatName val="0"/>
              <c:showSerName val="0"/>
              <c:showPercent val="0"/>
              <c:showBubbleSize val="0"/>
            </c:dLbl>
            <c:dLbl>
              <c:idx val="2"/>
              <c:layout>
                <c:manualLayout>
                  <c:x val="2.8368794326241137E-3"/>
                  <c:y val="8.1300813008129691E-3"/>
                </c:manualLayout>
              </c:layout>
              <c:tx>
                <c:rich>
                  <a:bodyPr/>
                  <a:lstStyle/>
                  <a:p>
                    <a:pPr>
                      <a:defRPr/>
                    </a:pPr>
                    <a:r>
                      <a:rPr lang="en-US">
                        <a:latin typeface="Times New Roman" pitchFamily="18" charset="0"/>
                        <a:cs typeface="Times New Roman" pitchFamily="18" charset="0"/>
                      </a:rPr>
                      <a:t>cd</a:t>
                    </a:r>
                    <a:endParaRPr lang="en-US"/>
                  </a:p>
                </c:rich>
              </c:tx>
              <c:spPr/>
              <c:dLblPos val="outEnd"/>
              <c:showLegendKey val="0"/>
              <c:showVal val="0"/>
              <c:showCatName val="0"/>
              <c:showSerName val="0"/>
              <c:showPercent val="0"/>
              <c:showBubbleSize val="0"/>
            </c:dLbl>
            <c:dLbl>
              <c:idx val="3"/>
              <c:layout>
                <c:manualLayout>
                  <c:x val="0"/>
                  <c:y val="2.0325203252032471E-2"/>
                </c:manualLayout>
              </c:layout>
              <c:tx>
                <c:rich>
                  <a:bodyPr/>
                  <a:lstStyle/>
                  <a:p>
                    <a:pPr>
                      <a:defRPr/>
                    </a:pPr>
                    <a:r>
                      <a:rPr lang="en-US">
                        <a:latin typeface="Times New Roman" pitchFamily="18" charset="0"/>
                        <a:cs typeface="Times New Roman" pitchFamily="18" charset="0"/>
                      </a:rPr>
                      <a:t>bc</a:t>
                    </a:r>
                    <a:endParaRPr lang="en-US"/>
                  </a:p>
                </c:rich>
              </c:tx>
              <c:spPr/>
              <c:dLblPos val="outEnd"/>
              <c:showLegendKey val="0"/>
              <c:showVal val="0"/>
              <c:showCatName val="0"/>
              <c:showSerName val="0"/>
              <c:showPercent val="0"/>
              <c:showBubbleSize val="0"/>
            </c:dLbl>
            <c:showLegendKey val="0"/>
            <c:showVal val="1"/>
            <c:showCatName val="0"/>
            <c:showSerName val="0"/>
            <c:showPercent val="0"/>
            <c:showBubbleSize val="0"/>
            <c:showLeaderLines val="0"/>
          </c:dLbls>
          <c:cat>
            <c:strRef>
              <c:f>Sheet1!$B$26:$B$29</c:f>
              <c:strCache>
                <c:ptCount val="4"/>
                <c:pt idx="0">
                  <c:v>P0</c:v>
                </c:pt>
                <c:pt idx="1">
                  <c:v>P1</c:v>
                </c:pt>
                <c:pt idx="2">
                  <c:v>P2</c:v>
                </c:pt>
                <c:pt idx="3">
                  <c:v>P3</c:v>
                </c:pt>
              </c:strCache>
            </c:strRef>
          </c:cat>
          <c:val>
            <c:numRef>
              <c:f>Sheet1!$D$26:$D$29</c:f>
              <c:numCache>
                <c:formatCode>General</c:formatCode>
                <c:ptCount val="4"/>
                <c:pt idx="0">
                  <c:v>6.68</c:v>
                </c:pt>
                <c:pt idx="1">
                  <c:v>8.31</c:v>
                </c:pt>
                <c:pt idx="2">
                  <c:v>10</c:v>
                </c:pt>
                <c:pt idx="3">
                  <c:v>10.54</c:v>
                </c:pt>
              </c:numCache>
            </c:numRef>
          </c:val>
        </c:ser>
        <c:ser>
          <c:idx val="2"/>
          <c:order val="2"/>
          <c:tx>
            <c:strRef>
              <c:f>Sheet1!$E$25</c:f>
              <c:strCache>
                <c:ptCount val="1"/>
                <c:pt idx="0">
                  <c:v>L2</c:v>
                </c:pt>
              </c:strCache>
            </c:strRef>
          </c:tx>
          <c:invertIfNegative val="0"/>
          <c:dLbls>
            <c:dLbl>
              <c:idx val="0"/>
              <c:layout>
                <c:manualLayout>
                  <c:x val="0"/>
                  <c:y val="1.2195121951219513E-2"/>
                </c:manualLayout>
              </c:layout>
              <c:tx>
                <c:rich>
                  <a:bodyPr/>
                  <a:lstStyle/>
                  <a:p>
                    <a:pPr>
                      <a:defRPr/>
                    </a:pPr>
                    <a:r>
                      <a:rPr lang="en-US">
                        <a:latin typeface="Times New Roman" pitchFamily="18" charset="0"/>
                        <a:cs typeface="Times New Roman" pitchFamily="18" charset="0"/>
                      </a:rPr>
                      <a:t>cdef</a:t>
                    </a:r>
                    <a:endParaRPr lang="en-US"/>
                  </a:p>
                </c:rich>
              </c:tx>
              <c:spPr/>
              <c:dLblPos val="outEnd"/>
              <c:showLegendKey val="0"/>
              <c:showVal val="0"/>
              <c:showCatName val="0"/>
              <c:showSerName val="0"/>
              <c:showPercent val="0"/>
              <c:showBubbleSize val="0"/>
            </c:dLbl>
            <c:dLbl>
              <c:idx val="1"/>
              <c:layout>
                <c:manualLayout>
                  <c:x val="0"/>
                  <c:y val="1.2195121951219549E-2"/>
                </c:manualLayout>
              </c:layout>
              <c:tx>
                <c:rich>
                  <a:bodyPr/>
                  <a:lstStyle/>
                  <a:p>
                    <a:pPr>
                      <a:defRPr/>
                    </a:pPr>
                    <a:r>
                      <a:rPr lang="en-US">
                        <a:latin typeface="Times New Roman" pitchFamily="18" charset="0"/>
                        <a:cs typeface="Times New Roman" pitchFamily="18" charset="0"/>
                      </a:rPr>
                      <a:t>bcd</a:t>
                    </a:r>
                    <a:endParaRPr lang="en-US"/>
                  </a:p>
                </c:rich>
              </c:tx>
              <c:spPr/>
              <c:dLblPos val="outEnd"/>
              <c:showLegendKey val="0"/>
              <c:showVal val="0"/>
              <c:showCatName val="0"/>
              <c:showSerName val="0"/>
              <c:showPercent val="0"/>
              <c:showBubbleSize val="0"/>
            </c:dLbl>
            <c:dLbl>
              <c:idx val="2"/>
              <c:layout>
                <c:manualLayout>
                  <c:x val="5.6737588652482291E-3"/>
                  <c:y val="2.8455284552845538E-2"/>
                </c:manualLayout>
              </c:layout>
              <c:tx>
                <c:rich>
                  <a:bodyPr/>
                  <a:lstStyle/>
                  <a:p>
                    <a:pPr>
                      <a:defRPr/>
                    </a:pPr>
                    <a:r>
                      <a:rPr lang="en-US">
                        <a:latin typeface="Times New Roman" pitchFamily="18" charset="0"/>
                        <a:cs typeface="Times New Roman" pitchFamily="18" charset="0"/>
                      </a:rPr>
                      <a:t>ab</a:t>
                    </a:r>
                    <a:endParaRPr lang="en-US"/>
                  </a:p>
                </c:rich>
              </c:tx>
              <c:spPr/>
              <c:dLblPos val="outEnd"/>
              <c:showLegendKey val="0"/>
              <c:showVal val="0"/>
              <c:showCatName val="0"/>
              <c:showSerName val="0"/>
              <c:showPercent val="0"/>
              <c:showBubbleSize val="0"/>
            </c:dLbl>
            <c:dLbl>
              <c:idx val="3"/>
              <c:layout>
                <c:manualLayout>
                  <c:x val="5.6737588652482291E-3"/>
                  <c:y val="2.4390243902439025E-2"/>
                </c:manualLayout>
              </c:layout>
              <c:tx>
                <c:rich>
                  <a:bodyPr/>
                  <a:lstStyle/>
                  <a:p>
                    <a:pPr>
                      <a:defRPr/>
                    </a:pPr>
                    <a:r>
                      <a:rPr lang="en-US">
                        <a:latin typeface="Times New Roman" pitchFamily="18" charset="0"/>
                        <a:cs typeface="Times New Roman" pitchFamily="18" charset="0"/>
                      </a:rPr>
                      <a:t>a</a:t>
                    </a:r>
                    <a:endParaRPr lang="en-US"/>
                  </a:p>
                </c:rich>
              </c:tx>
              <c:spPr/>
              <c:dLblPos val="outEnd"/>
              <c:showLegendKey val="0"/>
              <c:showVal val="0"/>
              <c:showCatName val="0"/>
              <c:showSerName val="0"/>
              <c:showPercent val="0"/>
              <c:showBubbleSize val="0"/>
            </c:dLbl>
            <c:showLegendKey val="0"/>
            <c:showVal val="1"/>
            <c:showCatName val="0"/>
            <c:showSerName val="0"/>
            <c:showPercent val="0"/>
            <c:showBubbleSize val="0"/>
            <c:showLeaderLines val="0"/>
          </c:dLbls>
          <c:cat>
            <c:strRef>
              <c:f>Sheet1!$B$26:$B$29</c:f>
              <c:strCache>
                <c:ptCount val="4"/>
                <c:pt idx="0">
                  <c:v>P0</c:v>
                </c:pt>
                <c:pt idx="1">
                  <c:v>P1</c:v>
                </c:pt>
                <c:pt idx="2">
                  <c:v>P2</c:v>
                </c:pt>
                <c:pt idx="3">
                  <c:v>P3</c:v>
                </c:pt>
              </c:strCache>
            </c:strRef>
          </c:cat>
          <c:val>
            <c:numRef>
              <c:f>Sheet1!$E$26:$E$29</c:f>
              <c:numCache>
                <c:formatCode>General</c:formatCode>
                <c:ptCount val="4"/>
                <c:pt idx="0">
                  <c:v>7.67</c:v>
                </c:pt>
                <c:pt idx="1">
                  <c:v>10.28</c:v>
                </c:pt>
                <c:pt idx="2">
                  <c:v>11.75</c:v>
                </c:pt>
                <c:pt idx="3">
                  <c:v>12.8</c:v>
                </c:pt>
              </c:numCache>
            </c:numRef>
          </c:val>
        </c:ser>
        <c:dLbls>
          <c:showLegendKey val="0"/>
          <c:showVal val="0"/>
          <c:showCatName val="0"/>
          <c:showSerName val="0"/>
          <c:showPercent val="0"/>
          <c:showBubbleSize val="0"/>
        </c:dLbls>
        <c:gapWidth val="150"/>
        <c:axId val="407739008"/>
        <c:axId val="407749376"/>
      </c:barChart>
      <c:catAx>
        <c:axId val="407739008"/>
        <c:scaling>
          <c:orientation val="minMax"/>
        </c:scaling>
        <c:delete val="0"/>
        <c:axPos val="b"/>
        <c:title>
          <c:tx>
            <c:rich>
              <a:bodyPr/>
              <a:lstStyle/>
              <a:p>
                <a:pPr>
                  <a:defRPr b="1"/>
                </a:pPr>
                <a:r>
                  <a:rPr lang="en-US" b="1"/>
                  <a:t>Phosphorus fertilizer rates</a:t>
                </a:r>
              </a:p>
            </c:rich>
          </c:tx>
          <c:overlay val="0"/>
        </c:title>
        <c:numFmt formatCode="General" sourceLinked="1"/>
        <c:majorTickMark val="out"/>
        <c:minorTickMark val="none"/>
        <c:tickLblPos val="nextTo"/>
        <c:txPr>
          <a:bodyPr rot="0" vert="horz"/>
          <a:lstStyle/>
          <a:p>
            <a:pPr>
              <a:defRPr/>
            </a:pPr>
            <a:endParaRPr lang="en-US"/>
          </a:p>
        </c:txPr>
        <c:crossAx val="407749376"/>
        <c:crosses val="autoZero"/>
        <c:auto val="1"/>
        <c:lblAlgn val="ctr"/>
        <c:lblOffset val="100"/>
        <c:noMultiLvlLbl val="0"/>
      </c:catAx>
      <c:valAx>
        <c:axId val="407749376"/>
        <c:scaling>
          <c:orientation val="minMax"/>
        </c:scaling>
        <c:delete val="0"/>
        <c:axPos val="l"/>
        <c:title>
          <c:tx>
            <c:rich>
              <a:bodyPr rot="-5400000" vert="horz"/>
              <a:lstStyle/>
              <a:p>
                <a:pPr>
                  <a:defRPr/>
                </a:pPr>
                <a:r>
                  <a:rPr lang="en-US" b="1"/>
                  <a:t>Above graound biomass yield (mt/ha)</a:t>
                </a:r>
              </a:p>
            </c:rich>
          </c:tx>
          <c:layout>
            <c:manualLayout>
              <c:xMode val="edge"/>
              <c:yMode val="edge"/>
              <c:x val="6.7542213883677329E-2"/>
              <c:y val="0.17136249057976674"/>
            </c:manualLayout>
          </c:layout>
          <c:overlay val="0"/>
        </c:title>
        <c:numFmt formatCode="General" sourceLinked="1"/>
        <c:majorTickMark val="out"/>
        <c:minorTickMark val="none"/>
        <c:tickLblPos val="nextTo"/>
        <c:txPr>
          <a:bodyPr rot="0" vert="horz"/>
          <a:lstStyle/>
          <a:p>
            <a:pPr>
              <a:defRPr/>
            </a:pPr>
            <a:endParaRPr lang="en-US"/>
          </a:p>
        </c:txPr>
        <c:crossAx val="407739008"/>
        <c:crosses val="autoZero"/>
        <c:crossBetween val="between"/>
      </c:valAx>
    </c:plotArea>
    <c:legend>
      <c:legendPos val="t"/>
      <c:overlay val="0"/>
    </c:legend>
    <c:plotVisOnly val="1"/>
    <c:dispBlanksAs val="gap"/>
    <c:showDLblsOverMax val="0"/>
  </c:chart>
  <c:txPr>
    <a:bodyPr/>
    <a:lstStyle/>
    <a:p>
      <a:pPr>
        <a:defRPr sz="999" b="0" i="0" u="none" strike="noStrike" baseline="0">
          <a:solidFill>
            <a:srgbClr val="000000"/>
          </a:solidFill>
          <a:latin typeface="Times New Roman" pitchFamily="18" charset="0"/>
          <a:ea typeface="Calibri"/>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17886178861735"/>
          <c:y val="0.15131578947368421"/>
          <c:w val="0.8333333333333337"/>
          <c:h val="0.57207829783108699"/>
        </c:manualLayout>
      </c:layout>
      <c:barChart>
        <c:barDir val="col"/>
        <c:grouping val="clustered"/>
        <c:varyColors val="0"/>
        <c:ser>
          <c:idx val="0"/>
          <c:order val="0"/>
          <c:tx>
            <c:strRef>
              <c:f>Sheet6!$E$6</c:f>
              <c:strCache>
                <c:ptCount val="1"/>
                <c:pt idx="0">
                  <c:v>Bekoji</c:v>
                </c:pt>
              </c:strCache>
            </c:strRef>
          </c:tx>
          <c:invertIfNegative val="0"/>
          <c:dLbls>
            <c:showLegendKey val="0"/>
            <c:showVal val="1"/>
            <c:showCatName val="0"/>
            <c:showSerName val="0"/>
            <c:showPercent val="0"/>
            <c:showBubbleSize val="0"/>
            <c:showLeaderLines val="0"/>
          </c:dLbls>
          <c:cat>
            <c:numRef>
              <c:f>Sheet6!$D$7:$D$9</c:f>
              <c:numCache>
                <c:formatCode>General</c:formatCode>
                <c:ptCount val="3"/>
                <c:pt idx="0">
                  <c:v>0</c:v>
                </c:pt>
                <c:pt idx="1">
                  <c:v>1.5</c:v>
                </c:pt>
                <c:pt idx="2">
                  <c:v>3</c:v>
                </c:pt>
              </c:numCache>
            </c:numRef>
          </c:cat>
          <c:val>
            <c:numRef>
              <c:f>Sheet6!$E$7:$E$9</c:f>
              <c:numCache>
                <c:formatCode>General</c:formatCode>
                <c:ptCount val="3"/>
                <c:pt idx="0">
                  <c:v>2.5099999999999998</c:v>
                </c:pt>
                <c:pt idx="1">
                  <c:v>3.04</c:v>
                </c:pt>
                <c:pt idx="2">
                  <c:v>3.8899999999999997</c:v>
                </c:pt>
              </c:numCache>
            </c:numRef>
          </c:val>
        </c:ser>
        <c:ser>
          <c:idx val="1"/>
          <c:order val="1"/>
          <c:tx>
            <c:strRef>
              <c:f>Sheet6!$F$6</c:f>
              <c:strCache>
                <c:ptCount val="1"/>
                <c:pt idx="0">
                  <c:v>Kofele</c:v>
                </c:pt>
              </c:strCache>
            </c:strRef>
          </c:tx>
          <c:invertIfNegative val="0"/>
          <c:dLbls>
            <c:showLegendKey val="0"/>
            <c:showVal val="1"/>
            <c:showCatName val="0"/>
            <c:showSerName val="0"/>
            <c:showPercent val="0"/>
            <c:showBubbleSize val="0"/>
            <c:showLeaderLines val="0"/>
          </c:dLbls>
          <c:cat>
            <c:numRef>
              <c:f>Sheet6!$D$7:$D$9</c:f>
              <c:numCache>
                <c:formatCode>General</c:formatCode>
                <c:ptCount val="3"/>
                <c:pt idx="0">
                  <c:v>0</c:v>
                </c:pt>
                <c:pt idx="1">
                  <c:v>1.5</c:v>
                </c:pt>
                <c:pt idx="2">
                  <c:v>3</c:v>
                </c:pt>
              </c:numCache>
            </c:numRef>
          </c:cat>
          <c:val>
            <c:numRef>
              <c:f>Sheet6!$F$7:$F$9</c:f>
              <c:numCache>
                <c:formatCode>General</c:formatCode>
                <c:ptCount val="3"/>
                <c:pt idx="0">
                  <c:v>3.7600000000000002</c:v>
                </c:pt>
                <c:pt idx="1">
                  <c:v>3.94</c:v>
                </c:pt>
                <c:pt idx="2">
                  <c:v>4.49</c:v>
                </c:pt>
              </c:numCache>
            </c:numRef>
          </c:val>
        </c:ser>
        <c:dLbls>
          <c:showLegendKey val="0"/>
          <c:showVal val="0"/>
          <c:showCatName val="0"/>
          <c:showSerName val="0"/>
          <c:showPercent val="0"/>
          <c:showBubbleSize val="0"/>
        </c:dLbls>
        <c:gapWidth val="150"/>
        <c:axId val="402348288"/>
        <c:axId val="403898752"/>
      </c:barChart>
      <c:catAx>
        <c:axId val="40234828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Lime rate (t/ha)</a:t>
                </a:r>
              </a:p>
            </c:rich>
          </c:tx>
          <c:layout>
            <c:manualLayout>
              <c:xMode val="edge"/>
              <c:yMode val="edge"/>
              <c:x val="0.4313801974821444"/>
              <c:y val="0.88092270497738356"/>
            </c:manualLayout>
          </c:layout>
          <c:overlay val="0"/>
        </c:title>
        <c:numFmt formatCode="General" sourceLinked="1"/>
        <c:majorTickMark val="out"/>
        <c:minorTickMark val="none"/>
        <c:tickLblPos val="nextTo"/>
        <c:crossAx val="403898752"/>
        <c:crosses val="autoZero"/>
        <c:auto val="1"/>
        <c:lblAlgn val="ctr"/>
        <c:lblOffset val="100"/>
        <c:noMultiLvlLbl val="0"/>
      </c:catAx>
      <c:valAx>
        <c:axId val="403898752"/>
        <c:scaling>
          <c:orientation val="minMax"/>
        </c:scaling>
        <c:delete val="0"/>
        <c:axPos val="l"/>
        <c:title>
          <c:tx>
            <c:rich>
              <a:bodyPr rot="-5400000" vert="horz"/>
              <a:lstStyle/>
              <a:p>
                <a:pPr>
                  <a:defRPr/>
                </a:pPr>
                <a:r>
                  <a:rPr lang="en-US"/>
                  <a:t>Grain yield (mt/ha)</a:t>
                </a:r>
              </a:p>
            </c:rich>
          </c:tx>
          <c:overlay val="0"/>
        </c:title>
        <c:numFmt formatCode="General" sourceLinked="1"/>
        <c:majorTickMark val="out"/>
        <c:minorTickMark val="none"/>
        <c:tickLblPos val="nextTo"/>
        <c:crossAx val="402348288"/>
        <c:crosses val="autoZero"/>
        <c:crossBetween val="between"/>
      </c:valAx>
    </c:plotArea>
    <c:legend>
      <c:legendPos val="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plotArea>
      <c:layout>
        <c:manualLayout>
          <c:layoutTarget val="inner"/>
          <c:xMode val="edge"/>
          <c:yMode val="edge"/>
          <c:x val="9.6296296296296768E-2"/>
          <c:y val="0.1232227488151667"/>
          <c:w val="0.87777777777778065"/>
          <c:h val="0.74407582938389505"/>
        </c:manualLayout>
      </c:layout>
      <c:barChart>
        <c:barDir val="col"/>
        <c:grouping val="clustered"/>
        <c:varyColors val="0"/>
        <c:ser>
          <c:idx val="0"/>
          <c:order val="0"/>
          <c:tx>
            <c:strRef>
              <c:f>Sheet7!$E$5</c:f>
              <c:strCache>
                <c:ptCount val="1"/>
                <c:pt idx="0">
                  <c:v>Bekoji</c:v>
                </c:pt>
              </c:strCache>
            </c:strRef>
          </c:tx>
          <c:spPr>
            <a:pattFill prst="pct80">
              <a:fgClr>
                <a:sysClr val="windowText" lastClr="000000"/>
              </a:fgClr>
              <a:bgClr>
                <a:schemeClr val="bg1"/>
              </a:bgClr>
            </a:pattFill>
          </c:spPr>
          <c:invertIfNegative val="0"/>
          <c:dLbls>
            <c:dLbl>
              <c:idx val="0"/>
              <c:tx>
                <c:rich>
                  <a:bodyPr/>
                  <a:lstStyle/>
                  <a:p>
                    <a:pPr>
                      <a:defRPr/>
                    </a:pPr>
                    <a:r>
                      <a:rPr lang="en-US"/>
                      <a:t>*c</a:t>
                    </a:r>
                  </a:p>
                </c:rich>
              </c:tx>
              <c:spPr/>
              <c:showLegendKey val="0"/>
              <c:showVal val="0"/>
              <c:showCatName val="0"/>
              <c:showSerName val="0"/>
              <c:showPercent val="0"/>
              <c:showBubbleSize val="0"/>
            </c:dLbl>
            <c:dLbl>
              <c:idx val="1"/>
              <c:tx>
                <c:rich>
                  <a:bodyPr/>
                  <a:lstStyle/>
                  <a:p>
                    <a:pPr>
                      <a:defRPr/>
                    </a:pPr>
                    <a:r>
                      <a:rPr lang="en-US"/>
                      <a:t>c</a:t>
                    </a:r>
                  </a:p>
                </c:rich>
              </c:tx>
              <c:spPr/>
              <c:showLegendKey val="0"/>
              <c:showVal val="0"/>
              <c:showCatName val="0"/>
              <c:showSerName val="0"/>
              <c:showPercent val="0"/>
              <c:showBubbleSize val="0"/>
            </c:dLbl>
            <c:dLbl>
              <c:idx val="2"/>
              <c:tx>
                <c:rich>
                  <a:bodyPr/>
                  <a:lstStyle/>
                  <a:p>
                    <a:pPr>
                      <a:defRPr/>
                    </a:pPr>
                    <a:r>
                      <a:rPr lang="en-US"/>
                      <a:t>b</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Sheet7!$D$6:$D$8</c:f>
              <c:strCache>
                <c:ptCount val="3"/>
                <c:pt idx="0">
                  <c:v>L0</c:v>
                </c:pt>
                <c:pt idx="1">
                  <c:v>L1</c:v>
                </c:pt>
                <c:pt idx="2">
                  <c:v>L2</c:v>
                </c:pt>
              </c:strCache>
            </c:strRef>
          </c:cat>
          <c:val>
            <c:numRef>
              <c:f>Sheet7!$E$6:$E$8</c:f>
              <c:numCache>
                <c:formatCode>General</c:formatCode>
                <c:ptCount val="3"/>
                <c:pt idx="0">
                  <c:v>6.43</c:v>
                </c:pt>
                <c:pt idx="1">
                  <c:v>7.29</c:v>
                </c:pt>
                <c:pt idx="2">
                  <c:v>9.83</c:v>
                </c:pt>
              </c:numCache>
            </c:numRef>
          </c:val>
        </c:ser>
        <c:ser>
          <c:idx val="1"/>
          <c:order val="1"/>
          <c:tx>
            <c:strRef>
              <c:f>Sheet7!$F$5</c:f>
              <c:strCache>
                <c:ptCount val="1"/>
                <c:pt idx="0">
                  <c:v>Kofele</c:v>
                </c:pt>
              </c:strCache>
            </c:strRef>
          </c:tx>
          <c:spPr>
            <a:pattFill prst="zigZag">
              <a:fgClr>
                <a:sysClr val="windowText" lastClr="000000"/>
              </a:fgClr>
              <a:bgClr>
                <a:schemeClr val="bg1"/>
              </a:bgClr>
            </a:pattFill>
            <a:ln>
              <a:solidFill>
                <a:schemeClr val="tx1"/>
              </a:solidFill>
              <a:prstDash val="sysDot"/>
            </a:ln>
          </c:spPr>
          <c:invertIfNegative val="0"/>
          <c:dLbls>
            <c:dLbl>
              <c:idx val="0"/>
              <c:tx>
                <c:rich>
                  <a:bodyPr/>
                  <a:lstStyle/>
                  <a:p>
                    <a:pPr>
                      <a:defRPr/>
                    </a:pPr>
                    <a:r>
                      <a:rPr lang="en-US"/>
                      <a:t>b</a:t>
                    </a:r>
                  </a:p>
                </c:rich>
              </c:tx>
              <c:spPr/>
              <c:showLegendKey val="0"/>
              <c:showVal val="0"/>
              <c:showCatName val="0"/>
              <c:showSerName val="0"/>
              <c:showPercent val="0"/>
              <c:showBubbleSize val="0"/>
            </c:dLbl>
            <c:dLbl>
              <c:idx val="1"/>
              <c:tx>
                <c:rich>
                  <a:bodyPr/>
                  <a:lstStyle/>
                  <a:p>
                    <a:pPr>
                      <a:defRPr/>
                    </a:pPr>
                    <a:r>
                      <a:rPr lang="en-US"/>
                      <a:t>b</a:t>
                    </a:r>
                  </a:p>
                </c:rich>
              </c:tx>
              <c:spPr/>
              <c:showLegendKey val="0"/>
              <c:showVal val="0"/>
              <c:showCatName val="0"/>
              <c:showSerName val="0"/>
              <c:showPercent val="0"/>
              <c:showBubbleSize val="0"/>
            </c:dLbl>
            <c:dLbl>
              <c:idx val="2"/>
              <c:tx>
                <c:rich>
                  <a:bodyPr/>
                  <a:lstStyle/>
                  <a:p>
                    <a:pPr>
                      <a:defRPr/>
                    </a:pPr>
                    <a:r>
                      <a:rPr lang="en-US"/>
                      <a:t>a</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Sheet7!$D$6:$D$8</c:f>
              <c:strCache>
                <c:ptCount val="3"/>
                <c:pt idx="0">
                  <c:v>L0</c:v>
                </c:pt>
                <c:pt idx="1">
                  <c:v>L1</c:v>
                </c:pt>
                <c:pt idx="2">
                  <c:v>L2</c:v>
                </c:pt>
              </c:strCache>
            </c:strRef>
          </c:cat>
          <c:val>
            <c:numRef>
              <c:f>Sheet7!$F$6:$F$8</c:f>
              <c:numCache>
                <c:formatCode>General</c:formatCode>
                <c:ptCount val="3"/>
                <c:pt idx="0">
                  <c:v>9.31</c:v>
                </c:pt>
                <c:pt idx="1">
                  <c:v>10</c:v>
                </c:pt>
                <c:pt idx="2">
                  <c:v>12.1</c:v>
                </c:pt>
              </c:numCache>
            </c:numRef>
          </c:val>
        </c:ser>
        <c:dLbls>
          <c:showLegendKey val="0"/>
          <c:showVal val="0"/>
          <c:showCatName val="0"/>
          <c:showSerName val="0"/>
          <c:showPercent val="0"/>
          <c:showBubbleSize val="0"/>
        </c:dLbls>
        <c:gapWidth val="150"/>
        <c:axId val="403948288"/>
        <c:axId val="403950208"/>
      </c:barChart>
      <c:catAx>
        <c:axId val="403948288"/>
        <c:scaling>
          <c:orientation val="minMax"/>
        </c:scaling>
        <c:delete val="0"/>
        <c:axPos val="b"/>
        <c:title>
          <c:tx>
            <c:rich>
              <a:bodyPr/>
              <a:lstStyle/>
              <a:p>
                <a:pPr>
                  <a:defRPr/>
                </a:pPr>
                <a:r>
                  <a:rPr lang="en-US"/>
                  <a:t>Lime rate (t ha</a:t>
                </a:r>
                <a:r>
                  <a:rPr lang="en-US" baseline="30000"/>
                  <a:t>-1</a:t>
                </a:r>
                <a:r>
                  <a:rPr lang="en-US" baseline="0"/>
                  <a:t>)</a:t>
                </a:r>
              </a:p>
            </c:rich>
          </c:tx>
          <c:layout>
            <c:manualLayout>
              <c:xMode val="edge"/>
              <c:yMode val="edge"/>
              <c:x val="0.38106079487300115"/>
              <c:y val="0.92784366981362298"/>
            </c:manualLayout>
          </c:layout>
          <c:overlay val="0"/>
        </c:title>
        <c:numFmt formatCode="General" sourceLinked="1"/>
        <c:majorTickMark val="out"/>
        <c:minorTickMark val="none"/>
        <c:tickLblPos val="nextTo"/>
        <c:crossAx val="403950208"/>
        <c:crosses val="autoZero"/>
        <c:auto val="1"/>
        <c:lblAlgn val="ctr"/>
        <c:lblOffset val="100"/>
        <c:tickLblSkip val="1"/>
        <c:noMultiLvlLbl val="0"/>
      </c:catAx>
      <c:valAx>
        <c:axId val="403950208"/>
        <c:scaling>
          <c:orientation val="minMax"/>
        </c:scaling>
        <c:delete val="0"/>
        <c:axPos val="l"/>
        <c:title>
          <c:tx>
            <c:rich>
              <a:bodyPr rot="-5400000" vert="horz"/>
              <a:lstStyle/>
              <a:p>
                <a:pPr>
                  <a:defRPr/>
                </a:pPr>
                <a:r>
                  <a:rPr lang="en-US"/>
                  <a:t>Above ground biomass yield (mt/ha)</a:t>
                </a:r>
              </a:p>
            </c:rich>
          </c:tx>
          <c:overlay val="0"/>
        </c:title>
        <c:numFmt formatCode="General" sourceLinked="1"/>
        <c:majorTickMark val="out"/>
        <c:minorTickMark val="none"/>
        <c:tickLblPos val="nextTo"/>
        <c:crossAx val="403948288"/>
        <c:crosses val="autoZero"/>
        <c:crossBetween val="between"/>
      </c:valAx>
      <c:spPr>
        <a:noFill/>
        <a:ln>
          <a:noFill/>
        </a:ln>
      </c:spPr>
    </c:plotArea>
    <c:legend>
      <c:legendPos val="t"/>
      <c:overlay val="0"/>
    </c:legend>
    <c:plotVisOnly val="1"/>
    <c:dispBlanksAs val="gap"/>
    <c:showDLblsOverMax val="0"/>
  </c:chart>
  <c:spPr>
    <a:noFill/>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250</TotalTime>
  <Pages>27</Pages>
  <Words>8765</Words>
  <Characters>49961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Fisseha Negash</dc:creator>
  <cp:lastModifiedBy>ABC</cp:lastModifiedBy>
  <cp:revision>24</cp:revision>
  <cp:lastPrinted>2022-07-03T21:44:00Z</cp:lastPrinted>
  <dcterms:created xsi:type="dcterms:W3CDTF">2024-03-04T08:05:00Z</dcterms:created>
  <dcterms:modified xsi:type="dcterms:W3CDTF">2024-03-04T14:01:00Z</dcterms:modified>
</cp:coreProperties>
</file>